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6454" w14:textId="3DAF2F14" w:rsidR="007952DC" w:rsidRDefault="00883AD4">
      <w:pPr>
        <w:rPr>
          <w:rFonts w:ascii="Arial Narrow" w:hAnsi="Arial Narrow" w:cs="Arial"/>
          <w:sz w:val="24"/>
          <w:szCs w:val="24"/>
        </w:rPr>
      </w:pPr>
      <w:r>
        <w:rPr>
          <w:rFonts w:ascii="Arial Narrow" w:hAnsi="Arial Narrow" w:cs="Arial"/>
          <w:noProof/>
          <w:sz w:val="24"/>
          <w:szCs w:val="24"/>
        </w:rPr>
        <w:drawing>
          <wp:inline distT="0" distB="0" distL="0" distR="0" wp14:anchorId="04ADF04E" wp14:editId="4B7BCC00">
            <wp:extent cx="2974016" cy="7239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9439" cy="730088"/>
                    </a:xfrm>
                    <a:prstGeom prst="rect">
                      <a:avLst/>
                    </a:prstGeom>
                  </pic:spPr>
                </pic:pic>
              </a:graphicData>
            </a:graphic>
          </wp:inline>
        </w:drawing>
      </w:r>
    </w:p>
    <w:p w14:paraId="6397D11E" w14:textId="77777777" w:rsidR="00731045" w:rsidRDefault="00731045">
      <w:pPr>
        <w:rPr>
          <w:rFonts w:ascii="Arial Narrow" w:hAnsi="Arial Narrow" w:cs="Arial"/>
          <w:b/>
          <w:bCs/>
          <w:sz w:val="36"/>
          <w:szCs w:val="36"/>
        </w:rPr>
      </w:pPr>
    </w:p>
    <w:p w14:paraId="4BE45B17" w14:textId="672DD02A" w:rsidR="002B7BC5" w:rsidRPr="00883AD4" w:rsidRDefault="009C08E5">
      <w:pPr>
        <w:rPr>
          <w:rFonts w:ascii="Arial Narrow" w:hAnsi="Arial Narrow" w:cs="Arial"/>
          <w:b/>
          <w:bCs/>
          <w:sz w:val="36"/>
          <w:szCs w:val="36"/>
        </w:rPr>
      </w:pPr>
      <w:r>
        <w:rPr>
          <w:rFonts w:ascii="Arial Narrow" w:hAnsi="Arial Narrow" w:cs="Arial"/>
          <w:b/>
          <w:bCs/>
          <w:sz w:val="36"/>
          <w:szCs w:val="36"/>
        </w:rPr>
        <w:t>Joint Committee on Human Rights</w:t>
      </w:r>
      <w:r w:rsidR="00C90508">
        <w:rPr>
          <w:rFonts w:ascii="Arial Narrow" w:hAnsi="Arial Narrow" w:cs="Arial"/>
          <w:b/>
          <w:bCs/>
          <w:sz w:val="36"/>
          <w:szCs w:val="36"/>
        </w:rPr>
        <w:t>: Evidence on the Government’s Independent Human Rights Act Review</w:t>
      </w:r>
    </w:p>
    <w:p w14:paraId="2FA6DB1D" w14:textId="210F4FE2" w:rsidR="00731045" w:rsidRDefault="00AD6C36">
      <w:pPr>
        <w:rPr>
          <w:rFonts w:ascii="Arial Narrow" w:hAnsi="Arial Narrow" w:cs="Arial"/>
          <w:sz w:val="24"/>
          <w:szCs w:val="24"/>
        </w:rPr>
      </w:pPr>
      <w:r w:rsidRPr="00883AD4">
        <w:rPr>
          <w:rFonts w:ascii="Arial Narrow" w:hAnsi="Arial Narrow" w:cs="Arial"/>
          <w:sz w:val="24"/>
          <w:szCs w:val="24"/>
        </w:rPr>
        <w:t xml:space="preserve">The Human Rights Consortium Scotland is a civil society network of </w:t>
      </w:r>
      <w:r w:rsidR="00883AD4">
        <w:rPr>
          <w:rFonts w:ascii="Arial Narrow" w:hAnsi="Arial Narrow" w:cs="Arial"/>
          <w:sz w:val="24"/>
          <w:szCs w:val="24"/>
        </w:rPr>
        <w:t>110</w:t>
      </w:r>
      <w:r w:rsidRPr="00883AD4">
        <w:rPr>
          <w:rFonts w:ascii="Arial Narrow" w:hAnsi="Arial Narrow" w:cs="Arial"/>
          <w:sz w:val="24"/>
          <w:szCs w:val="24"/>
        </w:rPr>
        <w:t xml:space="preserve"> member organisations who work together to protect human rights</w:t>
      </w:r>
      <w:r w:rsidR="008A6677" w:rsidRPr="00883AD4">
        <w:rPr>
          <w:rFonts w:ascii="Arial Narrow" w:hAnsi="Arial Narrow" w:cs="Arial"/>
          <w:sz w:val="24"/>
          <w:szCs w:val="24"/>
        </w:rPr>
        <w:t xml:space="preserve"> in Scotland</w:t>
      </w:r>
      <w:r w:rsidRPr="00883AD4">
        <w:rPr>
          <w:rFonts w:ascii="Arial Narrow" w:hAnsi="Arial Narrow" w:cs="Arial"/>
          <w:sz w:val="24"/>
          <w:szCs w:val="24"/>
        </w:rPr>
        <w:t>.  Our members span a very wide range of types of organisations</w:t>
      </w:r>
      <w:r w:rsidR="00883AD4">
        <w:rPr>
          <w:rFonts w:ascii="Arial Narrow" w:hAnsi="Arial Narrow" w:cs="Arial"/>
          <w:sz w:val="24"/>
          <w:szCs w:val="24"/>
        </w:rPr>
        <w:t xml:space="preserve"> from smaller local charities to national or issue-based organisations, and across a range of issue areas such as mental health, environment, disability, </w:t>
      </w:r>
      <w:proofErr w:type="gramStart"/>
      <w:r w:rsidR="00883AD4">
        <w:rPr>
          <w:rFonts w:ascii="Arial Narrow" w:hAnsi="Arial Narrow" w:cs="Arial"/>
          <w:sz w:val="24"/>
          <w:szCs w:val="24"/>
        </w:rPr>
        <w:t>health</w:t>
      </w:r>
      <w:proofErr w:type="gramEnd"/>
      <w:r w:rsidR="00883AD4">
        <w:rPr>
          <w:rFonts w:ascii="Arial Narrow" w:hAnsi="Arial Narrow" w:cs="Arial"/>
          <w:sz w:val="24"/>
          <w:szCs w:val="24"/>
        </w:rPr>
        <w:t xml:space="preserve"> and advocacy.  Many of them are not the ‘usual suspects’ </w:t>
      </w:r>
      <w:r w:rsidR="00E461CD">
        <w:rPr>
          <w:rFonts w:ascii="Arial Narrow" w:hAnsi="Arial Narrow" w:cs="Arial"/>
          <w:sz w:val="24"/>
          <w:szCs w:val="24"/>
        </w:rPr>
        <w:t>in human rights debates,</w:t>
      </w:r>
      <w:r w:rsidR="00883AD4">
        <w:rPr>
          <w:rFonts w:ascii="Arial Narrow" w:hAnsi="Arial Narrow" w:cs="Arial"/>
          <w:sz w:val="24"/>
          <w:szCs w:val="24"/>
        </w:rPr>
        <w:t xml:space="preserve"> but all of them recognise the importance of human rights being realised for all.</w:t>
      </w:r>
      <w:r w:rsidRPr="00883AD4">
        <w:rPr>
          <w:rFonts w:ascii="Arial Narrow" w:hAnsi="Arial Narrow" w:cs="Arial"/>
          <w:sz w:val="24"/>
          <w:szCs w:val="24"/>
        </w:rPr>
        <w:t xml:space="preserve"> </w:t>
      </w:r>
    </w:p>
    <w:p w14:paraId="232D2CA3" w14:textId="7ABC7FDB" w:rsidR="00475FB4" w:rsidRDefault="007348BB">
      <w:pPr>
        <w:rPr>
          <w:rFonts w:ascii="Arial Narrow" w:hAnsi="Arial Narrow" w:cs="Arial"/>
          <w:sz w:val="24"/>
          <w:szCs w:val="24"/>
        </w:rPr>
      </w:pPr>
      <w:r>
        <w:rPr>
          <w:rFonts w:ascii="Arial Narrow" w:hAnsi="Arial Narrow" w:cs="Arial"/>
          <w:b/>
          <w:bCs/>
          <w:sz w:val="24"/>
          <w:szCs w:val="24"/>
        </w:rPr>
        <w:t>Much of t</w:t>
      </w:r>
      <w:r w:rsidR="00731045" w:rsidRPr="00925A8A">
        <w:rPr>
          <w:rFonts w:ascii="Arial Narrow" w:hAnsi="Arial Narrow" w:cs="Arial"/>
          <w:b/>
          <w:bCs/>
          <w:sz w:val="24"/>
          <w:szCs w:val="24"/>
        </w:rPr>
        <w:t xml:space="preserve">he main body of this evidence was </w:t>
      </w:r>
      <w:r w:rsidR="00665D93">
        <w:rPr>
          <w:rFonts w:ascii="Arial Narrow" w:hAnsi="Arial Narrow" w:cs="Arial"/>
          <w:b/>
          <w:bCs/>
          <w:sz w:val="24"/>
          <w:szCs w:val="24"/>
        </w:rPr>
        <w:t xml:space="preserve">also </w:t>
      </w:r>
      <w:r w:rsidR="00731045" w:rsidRPr="00925A8A">
        <w:rPr>
          <w:rFonts w:ascii="Arial Narrow" w:hAnsi="Arial Narrow" w:cs="Arial"/>
          <w:b/>
          <w:bCs/>
          <w:sz w:val="24"/>
          <w:szCs w:val="24"/>
        </w:rPr>
        <w:t>submitted to the Indep</w:t>
      </w:r>
      <w:r w:rsidR="00E7696C" w:rsidRPr="00925A8A">
        <w:rPr>
          <w:rFonts w:ascii="Arial Narrow" w:hAnsi="Arial Narrow" w:cs="Arial"/>
          <w:b/>
          <w:bCs/>
          <w:sz w:val="24"/>
          <w:szCs w:val="24"/>
        </w:rPr>
        <w:t xml:space="preserve">endent Human Rights Act Review </w:t>
      </w:r>
      <w:r w:rsidR="00D67571">
        <w:rPr>
          <w:rFonts w:ascii="Arial Narrow" w:hAnsi="Arial Narrow" w:cs="Arial"/>
          <w:b/>
          <w:bCs/>
          <w:sz w:val="24"/>
          <w:szCs w:val="24"/>
        </w:rPr>
        <w:t>(IHRAR)</w:t>
      </w:r>
      <w:r w:rsidR="00E7696C" w:rsidRPr="00925A8A">
        <w:rPr>
          <w:rFonts w:ascii="Arial Narrow" w:hAnsi="Arial Narrow" w:cs="Arial"/>
          <w:b/>
          <w:bCs/>
          <w:sz w:val="24"/>
          <w:szCs w:val="24"/>
        </w:rPr>
        <w:t>.</w:t>
      </w:r>
      <w:r w:rsidR="00E7696C">
        <w:rPr>
          <w:rFonts w:ascii="Arial Narrow" w:hAnsi="Arial Narrow" w:cs="Arial"/>
          <w:sz w:val="24"/>
          <w:szCs w:val="24"/>
        </w:rPr>
        <w:t xml:space="preserve"> It </w:t>
      </w:r>
      <w:r w:rsidR="00400415">
        <w:rPr>
          <w:rFonts w:ascii="Arial Narrow" w:hAnsi="Arial Narrow" w:cs="Arial"/>
          <w:sz w:val="24"/>
          <w:szCs w:val="24"/>
        </w:rPr>
        <w:t xml:space="preserve">therefore </w:t>
      </w:r>
      <w:r w:rsidR="00E7696C">
        <w:rPr>
          <w:rFonts w:ascii="Arial Narrow" w:hAnsi="Arial Narrow" w:cs="Arial"/>
          <w:sz w:val="24"/>
          <w:szCs w:val="24"/>
        </w:rPr>
        <w:t xml:space="preserve">focuses on </w:t>
      </w:r>
      <w:r w:rsidR="00400415">
        <w:rPr>
          <w:rFonts w:ascii="Arial Narrow" w:hAnsi="Arial Narrow" w:cs="Arial"/>
          <w:sz w:val="24"/>
          <w:szCs w:val="24"/>
        </w:rPr>
        <w:t xml:space="preserve">the panel’s consultation questions, </w:t>
      </w:r>
      <w:r w:rsidR="00B27401">
        <w:rPr>
          <w:rFonts w:ascii="Arial Narrow" w:hAnsi="Arial Narrow" w:cs="Arial"/>
          <w:sz w:val="24"/>
          <w:szCs w:val="24"/>
        </w:rPr>
        <w:t xml:space="preserve">drawing on </w:t>
      </w:r>
      <w:r w:rsidR="00E461CD">
        <w:rPr>
          <w:rFonts w:ascii="Arial Narrow" w:hAnsi="Arial Narrow" w:cs="Arial"/>
          <w:sz w:val="24"/>
          <w:szCs w:val="24"/>
        </w:rPr>
        <w:t>civil society’s</w:t>
      </w:r>
      <w:r w:rsidR="00DD516E" w:rsidRPr="00883AD4">
        <w:rPr>
          <w:rFonts w:ascii="Arial Narrow" w:hAnsi="Arial Narrow" w:cs="Arial"/>
          <w:sz w:val="24"/>
          <w:szCs w:val="24"/>
        </w:rPr>
        <w:t xml:space="preserve"> experience and expertise of providing services, interacting with policy and law in Scotland, and working with and advocating for marginalised individuals and groups in Scottish society.</w:t>
      </w:r>
      <w:r w:rsidR="00883AD4">
        <w:rPr>
          <w:rFonts w:ascii="Arial Narrow" w:hAnsi="Arial Narrow" w:cs="Arial"/>
          <w:sz w:val="24"/>
          <w:szCs w:val="24"/>
        </w:rPr>
        <w:t xml:space="preserve">  </w:t>
      </w:r>
      <w:r w:rsidR="00B01159">
        <w:rPr>
          <w:rFonts w:ascii="Arial Narrow" w:hAnsi="Arial Narrow" w:cs="Arial"/>
          <w:sz w:val="24"/>
          <w:szCs w:val="24"/>
        </w:rPr>
        <w:t>M</w:t>
      </w:r>
      <w:r w:rsidR="00883AD4">
        <w:rPr>
          <w:rFonts w:ascii="Arial Narrow" w:hAnsi="Arial Narrow" w:cs="Arial"/>
          <w:sz w:val="24"/>
          <w:szCs w:val="24"/>
        </w:rPr>
        <w:t>ember organisations who directly support this submission are:</w:t>
      </w:r>
    </w:p>
    <w:p w14:paraId="7C6E3E12" w14:textId="203997EF" w:rsidR="00883AD4" w:rsidRPr="00A56C46" w:rsidRDefault="00060F28">
      <w:pPr>
        <w:rPr>
          <w:rFonts w:ascii="Arial Narrow" w:hAnsi="Arial Narrow" w:cs="Arial"/>
          <w:sz w:val="24"/>
          <w:szCs w:val="24"/>
        </w:rPr>
      </w:pPr>
      <w:r w:rsidRPr="00A56C46">
        <w:rPr>
          <w:rFonts w:ascii="Arial Narrow" w:hAnsi="Arial Narrow" w:cs="Arial"/>
          <w:sz w:val="24"/>
          <w:szCs w:val="24"/>
        </w:rPr>
        <w:t>Health and Social Care Alliance Scotland (the ALLIANCE)</w:t>
      </w:r>
    </w:p>
    <w:p w14:paraId="3C930207" w14:textId="188304DA" w:rsidR="00DD516E" w:rsidRPr="00A56C46" w:rsidRDefault="00E075F6" w:rsidP="00F1134A">
      <w:pPr>
        <w:rPr>
          <w:rFonts w:ascii="Arial Narrow" w:hAnsi="Arial Narrow" w:cs="Arial"/>
          <w:sz w:val="24"/>
          <w:szCs w:val="24"/>
        </w:rPr>
      </w:pPr>
      <w:r w:rsidRPr="00A56C46">
        <w:rPr>
          <w:rFonts w:ascii="Arial Narrow" w:hAnsi="Arial Narrow" w:cs="Arial"/>
          <w:sz w:val="24"/>
          <w:szCs w:val="24"/>
        </w:rPr>
        <w:t>Engender</w:t>
      </w:r>
    </w:p>
    <w:p w14:paraId="755DEEFE" w14:textId="182F8B46" w:rsidR="00E075F6" w:rsidRPr="00A56C46" w:rsidRDefault="008556CA" w:rsidP="00F1134A">
      <w:pPr>
        <w:rPr>
          <w:rFonts w:ascii="Arial Narrow" w:hAnsi="Arial Narrow" w:cs="Arial"/>
          <w:sz w:val="24"/>
          <w:szCs w:val="24"/>
        </w:rPr>
      </w:pPr>
      <w:r w:rsidRPr="00A56C46">
        <w:rPr>
          <w:rFonts w:ascii="Arial Narrow" w:hAnsi="Arial Narrow" w:cs="Arial"/>
          <w:sz w:val="24"/>
          <w:szCs w:val="24"/>
        </w:rPr>
        <w:t>Humanist Society Scotland</w:t>
      </w:r>
    </w:p>
    <w:p w14:paraId="72FEB406" w14:textId="5BB33051" w:rsidR="005669F4" w:rsidRPr="00A56C46" w:rsidRDefault="005669F4" w:rsidP="00F1134A">
      <w:pPr>
        <w:rPr>
          <w:rFonts w:ascii="Arial Narrow" w:hAnsi="Arial Narrow" w:cs="Arial"/>
          <w:sz w:val="24"/>
          <w:szCs w:val="24"/>
        </w:rPr>
      </w:pPr>
      <w:r w:rsidRPr="00A56C46">
        <w:rPr>
          <w:rFonts w:ascii="Arial Narrow" w:hAnsi="Arial Narrow" w:cs="Arial"/>
          <w:sz w:val="24"/>
          <w:szCs w:val="24"/>
        </w:rPr>
        <w:t>Deaf Scotland</w:t>
      </w:r>
    </w:p>
    <w:p w14:paraId="04517D87" w14:textId="65CC7448" w:rsidR="005669F4" w:rsidRPr="00A56C46" w:rsidRDefault="005669F4" w:rsidP="00F1134A">
      <w:pPr>
        <w:rPr>
          <w:rFonts w:ascii="Arial Narrow" w:hAnsi="Arial Narrow" w:cs="Arial"/>
          <w:sz w:val="24"/>
          <w:szCs w:val="24"/>
        </w:rPr>
      </w:pPr>
      <w:r w:rsidRPr="00A56C46">
        <w:rPr>
          <w:rFonts w:ascii="Arial Narrow" w:hAnsi="Arial Narrow" w:cs="Arial"/>
          <w:sz w:val="24"/>
          <w:szCs w:val="24"/>
        </w:rPr>
        <w:t xml:space="preserve">Close the </w:t>
      </w:r>
      <w:proofErr w:type="gramStart"/>
      <w:r w:rsidRPr="00A56C46">
        <w:rPr>
          <w:rFonts w:ascii="Arial Narrow" w:hAnsi="Arial Narrow" w:cs="Arial"/>
          <w:sz w:val="24"/>
          <w:szCs w:val="24"/>
        </w:rPr>
        <w:t>Gap</w:t>
      </w:r>
      <w:proofErr w:type="gramEnd"/>
    </w:p>
    <w:p w14:paraId="6F95E43E" w14:textId="61D84068" w:rsidR="007A35E6" w:rsidRDefault="007A35E6" w:rsidP="00F1134A">
      <w:pPr>
        <w:rPr>
          <w:rFonts w:ascii="Arial Narrow" w:hAnsi="Arial Narrow" w:cs="Arial"/>
          <w:sz w:val="24"/>
          <w:szCs w:val="24"/>
        </w:rPr>
      </w:pPr>
      <w:r w:rsidRPr="00A56C46">
        <w:rPr>
          <w:rFonts w:ascii="Arial Narrow" w:hAnsi="Arial Narrow" w:cs="Arial"/>
          <w:sz w:val="24"/>
          <w:szCs w:val="24"/>
        </w:rPr>
        <w:t>Welfare Scotland</w:t>
      </w:r>
    </w:p>
    <w:p w14:paraId="402BBB02" w14:textId="1D56E2D1" w:rsidR="00B65960" w:rsidRPr="00A56C46" w:rsidRDefault="00B65960" w:rsidP="00F1134A">
      <w:pPr>
        <w:rPr>
          <w:rFonts w:ascii="Arial Narrow" w:hAnsi="Arial Narrow" w:cs="Arial"/>
          <w:sz w:val="24"/>
          <w:szCs w:val="24"/>
        </w:rPr>
      </w:pPr>
      <w:r>
        <w:rPr>
          <w:rFonts w:ascii="Arial Narrow" w:hAnsi="Arial Narrow" w:cs="Arial"/>
          <w:sz w:val="24"/>
          <w:szCs w:val="24"/>
        </w:rPr>
        <w:t>Scottish Commission for People with Learning Disabilities (SCLD)</w:t>
      </w:r>
    </w:p>
    <w:p w14:paraId="72B5DA43" w14:textId="4E7A8BB9" w:rsidR="007A35E6" w:rsidRDefault="00BB496F" w:rsidP="00F1134A">
      <w:pPr>
        <w:rPr>
          <w:rFonts w:ascii="Arial Narrow" w:hAnsi="Arial Narrow" w:cs="Arial"/>
          <w:sz w:val="24"/>
          <w:szCs w:val="24"/>
        </w:rPr>
      </w:pPr>
      <w:r>
        <w:rPr>
          <w:rFonts w:ascii="Arial Narrow" w:hAnsi="Arial Narrow" w:cs="Arial"/>
          <w:sz w:val="24"/>
          <w:szCs w:val="24"/>
        </w:rPr>
        <w:t>Scottish Refugee Council</w:t>
      </w:r>
    </w:p>
    <w:p w14:paraId="4E4F23BB" w14:textId="41FD8BBC" w:rsidR="00BB496F" w:rsidRDefault="00BB496F" w:rsidP="00F1134A">
      <w:pPr>
        <w:rPr>
          <w:rFonts w:ascii="Arial Narrow" w:hAnsi="Arial Narrow" w:cs="Arial"/>
          <w:sz w:val="24"/>
          <w:szCs w:val="24"/>
        </w:rPr>
      </w:pPr>
      <w:r>
        <w:rPr>
          <w:rFonts w:ascii="Arial Narrow" w:hAnsi="Arial Narrow" w:cs="Arial"/>
          <w:sz w:val="24"/>
          <w:szCs w:val="24"/>
        </w:rPr>
        <w:t>Howard League Scotland</w:t>
      </w:r>
    </w:p>
    <w:p w14:paraId="36E6886F" w14:textId="1232639F" w:rsidR="00BB496F" w:rsidRDefault="00BB496F" w:rsidP="00F1134A">
      <w:pPr>
        <w:rPr>
          <w:rFonts w:ascii="Arial Narrow" w:hAnsi="Arial Narrow" w:cs="Arial"/>
          <w:sz w:val="24"/>
          <w:szCs w:val="24"/>
        </w:rPr>
      </w:pPr>
      <w:r>
        <w:rPr>
          <w:rFonts w:ascii="Arial Narrow" w:hAnsi="Arial Narrow" w:cs="Arial"/>
          <w:sz w:val="24"/>
          <w:szCs w:val="24"/>
        </w:rPr>
        <w:t>British Institute for Human Rights</w:t>
      </w:r>
    </w:p>
    <w:p w14:paraId="32248236" w14:textId="0D64E3C7" w:rsidR="007F4C4E" w:rsidRDefault="007F4C4E" w:rsidP="00F1134A">
      <w:pPr>
        <w:rPr>
          <w:rFonts w:ascii="Arial Narrow" w:hAnsi="Arial Narrow" w:cs="Arial"/>
          <w:sz w:val="24"/>
          <w:szCs w:val="24"/>
        </w:rPr>
      </w:pPr>
      <w:r>
        <w:rPr>
          <w:rFonts w:ascii="Arial Narrow" w:hAnsi="Arial Narrow" w:cs="Arial"/>
          <w:sz w:val="24"/>
          <w:szCs w:val="24"/>
        </w:rPr>
        <w:t>Article 12 in Scotland</w:t>
      </w:r>
    </w:p>
    <w:p w14:paraId="7282F041" w14:textId="0982A176" w:rsidR="00FB6BB4" w:rsidRDefault="00FB6BB4" w:rsidP="00F1134A">
      <w:pPr>
        <w:rPr>
          <w:rFonts w:ascii="Arial Narrow" w:hAnsi="Arial Narrow" w:cs="Arial"/>
          <w:sz w:val="24"/>
          <w:szCs w:val="24"/>
        </w:rPr>
      </w:pPr>
      <w:proofErr w:type="spellStart"/>
      <w:r>
        <w:rPr>
          <w:rFonts w:ascii="Arial Narrow" w:hAnsi="Arial Narrow" w:cs="Arial"/>
          <w:sz w:val="24"/>
          <w:szCs w:val="24"/>
        </w:rPr>
        <w:t>Forth</w:t>
      </w:r>
      <w:proofErr w:type="spellEnd"/>
      <w:r>
        <w:rPr>
          <w:rFonts w:ascii="Arial Narrow" w:hAnsi="Arial Narrow" w:cs="Arial"/>
          <w:sz w:val="24"/>
          <w:szCs w:val="24"/>
        </w:rPr>
        <w:t xml:space="preserve"> Valley Migrant Support</w:t>
      </w:r>
      <w:r w:rsidR="00AF5045">
        <w:rPr>
          <w:rFonts w:ascii="Arial Narrow" w:hAnsi="Arial Narrow" w:cs="Arial"/>
          <w:sz w:val="24"/>
          <w:szCs w:val="24"/>
        </w:rPr>
        <w:t xml:space="preserve"> Network</w:t>
      </w:r>
    </w:p>
    <w:p w14:paraId="7378CFAE" w14:textId="600AA40F" w:rsidR="00AF5045" w:rsidRDefault="00AF5045" w:rsidP="00F1134A">
      <w:pPr>
        <w:rPr>
          <w:rFonts w:ascii="Arial Narrow" w:hAnsi="Arial Narrow" w:cs="Arial"/>
          <w:sz w:val="24"/>
          <w:szCs w:val="24"/>
        </w:rPr>
      </w:pPr>
      <w:r>
        <w:rPr>
          <w:rFonts w:ascii="Arial Narrow" w:hAnsi="Arial Narrow" w:cs="Arial"/>
          <w:sz w:val="24"/>
          <w:szCs w:val="24"/>
        </w:rPr>
        <w:t>Together (Scottish Alliance for Children’s Rights)</w:t>
      </w:r>
    </w:p>
    <w:p w14:paraId="1344BE00" w14:textId="57A15041" w:rsidR="00127E00" w:rsidRDefault="00127E00" w:rsidP="00F1134A">
      <w:pPr>
        <w:rPr>
          <w:rFonts w:ascii="Arial Narrow" w:hAnsi="Arial Narrow" w:cs="Arial"/>
          <w:sz w:val="24"/>
          <w:szCs w:val="24"/>
        </w:rPr>
      </w:pPr>
      <w:r>
        <w:rPr>
          <w:rFonts w:ascii="Arial Narrow" w:hAnsi="Arial Narrow" w:cs="Arial"/>
          <w:sz w:val="24"/>
          <w:szCs w:val="24"/>
        </w:rPr>
        <w:t>Alcohol Focus Scotland</w:t>
      </w:r>
    </w:p>
    <w:p w14:paraId="6290AC2C" w14:textId="316711BC" w:rsidR="00127E00" w:rsidRDefault="00127E00" w:rsidP="00F1134A">
      <w:pPr>
        <w:rPr>
          <w:rFonts w:ascii="Arial Narrow" w:hAnsi="Arial Narrow" w:cs="Arial"/>
          <w:sz w:val="24"/>
          <w:szCs w:val="24"/>
        </w:rPr>
      </w:pPr>
      <w:r>
        <w:rPr>
          <w:rFonts w:ascii="Arial Narrow" w:hAnsi="Arial Narrow" w:cs="Arial"/>
          <w:sz w:val="24"/>
          <w:szCs w:val="24"/>
        </w:rPr>
        <w:t xml:space="preserve">Nourish </w:t>
      </w:r>
      <w:proofErr w:type="gramStart"/>
      <w:r>
        <w:rPr>
          <w:rFonts w:ascii="Arial Narrow" w:hAnsi="Arial Narrow" w:cs="Arial"/>
          <w:sz w:val="24"/>
          <w:szCs w:val="24"/>
        </w:rPr>
        <w:t>Scotland</w:t>
      </w:r>
      <w:proofErr w:type="gramEnd"/>
    </w:p>
    <w:p w14:paraId="5A2035E8" w14:textId="4B4C8618" w:rsidR="001E2365" w:rsidRDefault="001E2365" w:rsidP="00F1134A">
      <w:pPr>
        <w:rPr>
          <w:rFonts w:ascii="Arial Narrow" w:hAnsi="Arial Narrow" w:cs="Arial"/>
          <w:sz w:val="24"/>
          <w:szCs w:val="24"/>
        </w:rPr>
      </w:pPr>
      <w:r>
        <w:rPr>
          <w:rFonts w:ascii="Arial Narrow" w:hAnsi="Arial Narrow" w:cs="Arial"/>
          <w:sz w:val="24"/>
          <w:szCs w:val="24"/>
        </w:rPr>
        <w:t>Equality Network</w:t>
      </w:r>
    </w:p>
    <w:p w14:paraId="51C1159E" w14:textId="6A5C3E27" w:rsidR="00B33B7D" w:rsidRDefault="00B33B7D" w:rsidP="00F1134A">
      <w:pPr>
        <w:rPr>
          <w:rFonts w:ascii="Arial Narrow" w:hAnsi="Arial Narrow" w:cs="Arial"/>
          <w:sz w:val="24"/>
          <w:szCs w:val="24"/>
        </w:rPr>
      </w:pPr>
      <w:r>
        <w:rPr>
          <w:rFonts w:ascii="Arial Narrow" w:hAnsi="Arial Narrow" w:cs="Arial"/>
          <w:sz w:val="24"/>
          <w:szCs w:val="24"/>
        </w:rPr>
        <w:lastRenderedPageBreak/>
        <w:t>Scottish Trans</w:t>
      </w:r>
    </w:p>
    <w:p w14:paraId="6FC94903" w14:textId="0562F64B" w:rsidR="005231EF" w:rsidRDefault="005231EF" w:rsidP="00F1134A">
      <w:pPr>
        <w:rPr>
          <w:rFonts w:ascii="Arial Narrow" w:hAnsi="Arial Narrow" w:cs="Arial"/>
          <w:sz w:val="24"/>
          <w:szCs w:val="24"/>
        </w:rPr>
      </w:pPr>
      <w:r>
        <w:rPr>
          <w:rFonts w:ascii="Arial Narrow" w:hAnsi="Arial Narrow" w:cs="Arial"/>
          <w:sz w:val="24"/>
          <w:szCs w:val="24"/>
        </w:rPr>
        <w:t>Inclusion Scotland</w:t>
      </w:r>
    </w:p>
    <w:p w14:paraId="408F57F0" w14:textId="15DDF3F2" w:rsidR="00DA4612" w:rsidRDefault="00DA4612" w:rsidP="00F1134A">
      <w:pPr>
        <w:rPr>
          <w:rFonts w:ascii="Arial Narrow" w:hAnsi="Arial Narrow" w:cs="Arial"/>
          <w:sz w:val="24"/>
          <w:szCs w:val="24"/>
        </w:rPr>
      </w:pPr>
      <w:proofErr w:type="spellStart"/>
      <w:r>
        <w:rPr>
          <w:rFonts w:ascii="Arial Narrow" w:hAnsi="Arial Narrow" w:cs="Arial"/>
          <w:sz w:val="24"/>
          <w:szCs w:val="24"/>
        </w:rPr>
        <w:t>JustRight</w:t>
      </w:r>
      <w:proofErr w:type="spellEnd"/>
      <w:r>
        <w:rPr>
          <w:rFonts w:ascii="Arial Narrow" w:hAnsi="Arial Narrow" w:cs="Arial"/>
          <w:sz w:val="24"/>
          <w:szCs w:val="24"/>
        </w:rPr>
        <w:t xml:space="preserve"> Scotland</w:t>
      </w:r>
    </w:p>
    <w:p w14:paraId="63B11E1F" w14:textId="77777777" w:rsidR="00F10C1C" w:rsidRPr="00883AD4" w:rsidRDefault="00F10C1C" w:rsidP="00F1134A">
      <w:pPr>
        <w:rPr>
          <w:rFonts w:ascii="Arial Narrow" w:hAnsi="Arial Narrow" w:cs="Arial"/>
          <w:sz w:val="24"/>
          <w:szCs w:val="24"/>
        </w:rPr>
      </w:pPr>
    </w:p>
    <w:p w14:paraId="5AB1B845" w14:textId="0002E194" w:rsidR="00A27962" w:rsidRPr="00883AD4" w:rsidRDefault="00A27962" w:rsidP="00F1134A">
      <w:pPr>
        <w:rPr>
          <w:rFonts w:ascii="Arial Narrow" w:hAnsi="Arial Narrow" w:cs="Arial"/>
          <w:sz w:val="24"/>
          <w:szCs w:val="24"/>
        </w:rPr>
      </w:pPr>
      <w:r w:rsidRPr="00883AD4">
        <w:rPr>
          <w:rFonts w:ascii="Arial Narrow" w:hAnsi="Arial Narrow" w:cs="Arial"/>
          <w:sz w:val="24"/>
          <w:szCs w:val="24"/>
        </w:rPr>
        <w:t>Civil society in Scotland is overwhelmingly committed to the progression and advancement of human rights in society, in law and in practice.  Over 200 organisations</w:t>
      </w:r>
      <w:r w:rsidR="00883AD4">
        <w:rPr>
          <w:rFonts w:ascii="Arial Narrow" w:hAnsi="Arial Narrow" w:cs="Arial"/>
          <w:sz w:val="24"/>
          <w:szCs w:val="24"/>
        </w:rPr>
        <w:t xml:space="preserve"> </w:t>
      </w:r>
      <w:r w:rsidRPr="00883AD4">
        <w:rPr>
          <w:rFonts w:ascii="Arial Narrow" w:hAnsi="Arial Narrow" w:cs="Arial"/>
          <w:sz w:val="24"/>
          <w:szCs w:val="24"/>
        </w:rPr>
        <w:t>are signatories to the Scot</w:t>
      </w:r>
      <w:r w:rsidR="0092110B" w:rsidRPr="00883AD4">
        <w:rPr>
          <w:rFonts w:ascii="Arial Narrow" w:hAnsi="Arial Narrow" w:cs="Arial"/>
          <w:sz w:val="24"/>
          <w:szCs w:val="24"/>
        </w:rPr>
        <w:t>land</w:t>
      </w:r>
      <w:r w:rsidRPr="00883AD4">
        <w:rPr>
          <w:rFonts w:ascii="Arial Narrow" w:hAnsi="Arial Narrow" w:cs="Arial"/>
          <w:sz w:val="24"/>
          <w:szCs w:val="24"/>
        </w:rPr>
        <w:t xml:space="preserve"> Declaration on Human Rights</w:t>
      </w:r>
      <w:r w:rsidR="00C579F8">
        <w:rPr>
          <w:rStyle w:val="FootnoteReference"/>
          <w:rFonts w:ascii="Arial Narrow" w:hAnsi="Arial Narrow" w:cs="Arial"/>
          <w:sz w:val="24"/>
          <w:szCs w:val="24"/>
        </w:rPr>
        <w:footnoteReference w:id="2"/>
      </w:r>
      <w:r w:rsidRPr="00883AD4">
        <w:rPr>
          <w:rFonts w:ascii="Arial Narrow" w:hAnsi="Arial Narrow" w:cs="Arial"/>
          <w:sz w:val="24"/>
          <w:szCs w:val="24"/>
        </w:rPr>
        <w:t xml:space="preserve">, a civil society statement that </w:t>
      </w:r>
      <w:r w:rsidR="0092110B" w:rsidRPr="00883AD4">
        <w:rPr>
          <w:rFonts w:ascii="Arial Narrow" w:hAnsi="Arial Narrow" w:cs="Arial"/>
          <w:sz w:val="24"/>
          <w:szCs w:val="24"/>
        </w:rPr>
        <w:t xml:space="preserve">says that </w:t>
      </w:r>
      <w:r w:rsidRPr="00883AD4">
        <w:rPr>
          <w:rFonts w:ascii="Arial Narrow" w:hAnsi="Arial Narrow" w:cs="Arial"/>
          <w:sz w:val="24"/>
          <w:szCs w:val="24"/>
        </w:rPr>
        <w:t xml:space="preserve">they ‘share profound concerns …about the persistent negative rhetoric around the protection and promotion of rights in the UK.’ </w:t>
      </w:r>
      <w:r w:rsidR="00F1134A" w:rsidRPr="00883AD4">
        <w:rPr>
          <w:rFonts w:ascii="Arial Narrow" w:hAnsi="Arial Narrow" w:cs="Arial"/>
          <w:sz w:val="24"/>
          <w:szCs w:val="24"/>
        </w:rPr>
        <w:t>They</w:t>
      </w:r>
      <w:r w:rsidRPr="00883AD4">
        <w:rPr>
          <w:rFonts w:ascii="Arial Narrow" w:hAnsi="Arial Narrow" w:cs="Arial"/>
          <w:sz w:val="24"/>
          <w:szCs w:val="24"/>
        </w:rPr>
        <w:t xml:space="preserve"> call for four principles to apply in all decisions that affect human rights: </w:t>
      </w:r>
    </w:p>
    <w:p w14:paraId="0CBF0EC6" w14:textId="5FA2CF4C" w:rsidR="00A27962" w:rsidRPr="00883AD4" w:rsidRDefault="00A27962" w:rsidP="00F1134A">
      <w:pPr>
        <w:pStyle w:val="ListParagraph"/>
        <w:numPr>
          <w:ilvl w:val="0"/>
          <w:numId w:val="4"/>
        </w:numPr>
        <w:rPr>
          <w:rFonts w:ascii="Arial Narrow" w:hAnsi="Arial Narrow" w:cs="Arial"/>
          <w:sz w:val="24"/>
          <w:szCs w:val="24"/>
        </w:rPr>
      </w:pPr>
      <w:r w:rsidRPr="00883AD4">
        <w:rPr>
          <w:rFonts w:ascii="Arial Narrow" w:hAnsi="Arial Narrow" w:cs="Arial"/>
          <w:b/>
          <w:bCs/>
          <w:sz w:val="24"/>
          <w:szCs w:val="24"/>
        </w:rPr>
        <w:t>No going back</w:t>
      </w:r>
      <w:r w:rsidR="0092110B" w:rsidRPr="00883AD4">
        <w:rPr>
          <w:rFonts w:ascii="Arial Narrow" w:hAnsi="Arial Narrow" w:cs="Arial"/>
          <w:sz w:val="24"/>
          <w:szCs w:val="24"/>
        </w:rPr>
        <w:t xml:space="preserve">: Human rights and equalities protections in law, policy and practice must not be reduced or regressed for any individual, group, </w:t>
      </w:r>
      <w:proofErr w:type="gramStart"/>
      <w:r w:rsidR="0092110B" w:rsidRPr="00883AD4">
        <w:rPr>
          <w:rFonts w:ascii="Arial Narrow" w:hAnsi="Arial Narrow" w:cs="Arial"/>
          <w:sz w:val="24"/>
          <w:szCs w:val="24"/>
        </w:rPr>
        <w:t>community</w:t>
      </w:r>
      <w:proofErr w:type="gramEnd"/>
      <w:r w:rsidR="0092110B" w:rsidRPr="00883AD4">
        <w:rPr>
          <w:rFonts w:ascii="Arial Narrow" w:hAnsi="Arial Narrow" w:cs="Arial"/>
          <w:sz w:val="24"/>
          <w:szCs w:val="24"/>
        </w:rPr>
        <w:t xml:space="preserve"> or sector of the population.</w:t>
      </w:r>
    </w:p>
    <w:p w14:paraId="36EF42BE" w14:textId="59D6185B" w:rsidR="00A27962" w:rsidRPr="00883AD4" w:rsidRDefault="00A27962" w:rsidP="00F1134A">
      <w:pPr>
        <w:pStyle w:val="ListParagraph"/>
        <w:numPr>
          <w:ilvl w:val="0"/>
          <w:numId w:val="4"/>
        </w:numPr>
        <w:rPr>
          <w:rFonts w:ascii="Arial Narrow" w:hAnsi="Arial Narrow" w:cs="Arial"/>
          <w:sz w:val="24"/>
          <w:szCs w:val="24"/>
        </w:rPr>
      </w:pPr>
      <w:r w:rsidRPr="00883AD4">
        <w:rPr>
          <w:rFonts w:ascii="Arial Narrow" w:hAnsi="Arial Narrow" w:cs="Arial"/>
          <w:b/>
          <w:bCs/>
          <w:sz w:val="24"/>
          <w:szCs w:val="24"/>
        </w:rPr>
        <w:t>Progression</w:t>
      </w:r>
      <w:r w:rsidR="0092110B" w:rsidRPr="00883AD4">
        <w:rPr>
          <w:rFonts w:ascii="Arial Narrow" w:hAnsi="Arial Narrow" w:cs="Arial"/>
          <w:sz w:val="24"/>
          <w:szCs w:val="24"/>
        </w:rPr>
        <w:t>: Human rights standards should be continually strengthened over time.  Scotland must help to shape and adopt the highest international human rights and equalities standards.</w:t>
      </w:r>
    </w:p>
    <w:p w14:paraId="5540BBAC" w14:textId="08A3EF0E" w:rsidR="00A27962" w:rsidRPr="00883AD4" w:rsidRDefault="00A27962" w:rsidP="00F1134A">
      <w:pPr>
        <w:pStyle w:val="ListParagraph"/>
        <w:numPr>
          <w:ilvl w:val="0"/>
          <w:numId w:val="4"/>
        </w:numPr>
        <w:rPr>
          <w:rFonts w:ascii="Arial Narrow" w:hAnsi="Arial Narrow" w:cs="Arial"/>
          <w:sz w:val="24"/>
          <w:szCs w:val="24"/>
        </w:rPr>
      </w:pPr>
      <w:r w:rsidRPr="00883AD4">
        <w:rPr>
          <w:rFonts w:ascii="Arial Narrow" w:hAnsi="Arial Narrow" w:cs="Arial"/>
          <w:b/>
          <w:bCs/>
          <w:sz w:val="24"/>
          <w:szCs w:val="24"/>
        </w:rPr>
        <w:t>Transparency</w:t>
      </w:r>
      <w:r w:rsidR="0092110B" w:rsidRPr="00883AD4">
        <w:rPr>
          <w:rFonts w:ascii="Arial Narrow" w:hAnsi="Arial Narrow" w:cs="Arial"/>
          <w:sz w:val="24"/>
          <w:szCs w:val="24"/>
        </w:rPr>
        <w:t>: Any changes to existing rights protections should be undertaken only with a fully transparent consultation process and the appropriate degree of parliamentary scrutiny at all levels.</w:t>
      </w:r>
    </w:p>
    <w:p w14:paraId="1295A0FD" w14:textId="117B36F9" w:rsidR="00A27962" w:rsidRPr="00883AD4" w:rsidRDefault="00A27962" w:rsidP="00F1134A">
      <w:pPr>
        <w:pStyle w:val="ListParagraph"/>
        <w:numPr>
          <w:ilvl w:val="0"/>
          <w:numId w:val="4"/>
        </w:numPr>
        <w:rPr>
          <w:rFonts w:ascii="Arial Narrow" w:hAnsi="Arial Narrow" w:cs="Arial"/>
          <w:sz w:val="24"/>
          <w:szCs w:val="24"/>
        </w:rPr>
      </w:pPr>
      <w:r w:rsidRPr="00883AD4">
        <w:rPr>
          <w:rFonts w:ascii="Arial Narrow" w:hAnsi="Arial Narrow" w:cs="Arial"/>
          <w:b/>
          <w:bCs/>
          <w:sz w:val="24"/>
          <w:szCs w:val="24"/>
        </w:rPr>
        <w:t>Participation</w:t>
      </w:r>
      <w:r w:rsidR="0092110B" w:rsidRPr="00883AD4">
        <w:rPr>
          <w:rFonts w:ascii="Arial Narrow" w:hAnsi="Arial Narrow" w:cs="Arial"/>
          <w:sz w:val="24"/>
          <w:szCs w:val="24"/>
        </w:rPr>
        <w:t>: The people of Scotland must be engaged in a process of understanding what their rights are, how they are protected and what more can be done to protect their rights. Any significant change in the protection of rights must be based on this meaningful engagement.</w:t>
      </w:r>
    </w:p>
    <w:p w14:paraId="7ED65F05" w14:textId="33ED3E70" w:rsidR="008A71E0" w:rsidRPr="00883AD4" w:rsidRDefault="00883AD4">
      <w:pPr>
        <w:rPr>
          <w:rFonts w:ascii="Arial Narrow" w:hAnsi="Arial Narrow" w:cs="Arial"/>
          <w:sz w:val="24"/>
          <w:szCs w:val="24"/>
        </w:rPr>
      </w:pPr>
      <w:r>
        <w:rPr>
          <w:rFonts w:ascii="Arial Narrow" w:hAnsi="Arial Narrow" w:cs="Arial"/>
          <w:sz w:val="24"/>
          <w:szCs w:val="24"/>
        </w:rPr>
        <w:t>We consider that these four principles should apply to decision-making</w:t>
      </w:r>
      <w:r w:rsidR="006E5FE0">
        <w:rPr>
          <w:rFonts w:ascii="Arial Narrow" w:hAnsi="Arial Narrow" w:cs="Arial"/>
          <w:sz w:val="24"/>
          <w:szCs w:val="24"/>
        </w:rPr>
        <w:t xml:space="preserve"> on human rights</w:t>
      </w:r>
      <w:r>
        <w:rPr>
          <w:rFonts w:ascii="Arial Narrow" w:hAnsi="Arial Narrow" w:cs="Arial"/>
          <w:sz w:val="24"/>
          <w:szCs w:val="24"/>
        </w:rPr>
        <w:t xml:space="preserve">. </w:t>
      </w:r>
      <w:r w:rsidR="0092110B" w:rsidRPr="00883AD4">
        <w:rPr>
          <w:rFonts w:ascii="Arial Narrow" w:hAnsi="Arial Narrow" w:cs="Arial"/>
          <w:sz w:val="24"/>
          <w:szCs w:val="24"/>
        </w:rPr>
        <w:t xml:space="preserve">We welcome that the </w:t>
      </w:r>
      <w:r w:rsidR="006E5FE0">
        <w:rPr>
          <w:rFonts w:ascii="Arial Narrow" w:hAnsi="Arial Narrow" w:cs="Arial"/>
          <w:sz w:val="24"/>
          <w:szCs w:val="24"/>
        </w:rPr>
        <w:t xml:space="preserve">IHRAR </w:t>
      </w:r>
      <w:r w:rsidR="0092110B" w:rsidRPr="00883AD4">
        <w:rPr>
          <w:rFonts w:ascii="Arial Narrow" w:hAnsi="Arial Narrow" w:cs="Arial"/>
          <w:sz w:val="24"/>
          <w:szCs w:val="24"/>
        </w:rPr>
        <w:t>is not considering withdrawal from the European Convention on Human Rights (ECHR) nor changes to the substantive rights within the Human Rights Act. However, we also recognise that this review comes after several years of negative rhetoric surrounding the Human Rights Act – and human rights protections in general</w:t>
      </w:r>
      <w:r w:rsidR="00F1134A" w:rsidRPr="00883AD4">
        <w:rPr>
          <w:rFonts w:ascii="Arial Narrow" w:hAnsi="Arial Narrow" w:cs="Arial"/>
          <w:sz w:val="24"/>
          <w:szCs w:val="24"/>
        </w:rPr>
        <w:t xml:space="preserve"> -and the removal of the </w:t>
      </w:r>
      <w:r w:rsidR="00E461CD">
        <w:rPr>
          <w:rFonts w:ascii="Arial Narrow" w:hAnsi="Arial Narrow" w:cs="Arial"/>
          <w:sz w:val="24"/>
          <w:szCs w:val="24"/>
        </w:rPr>
        <w:t xml:space="preserve">legal </w:t>
      </w:r>
      <w:r w:rsidR="00F1134A" w:rsidRPr="00883AD4">
        <w:rPr>
          <w:rFonts w:ascii="Arial Narrow" w:hAnsi="Arial Narrow" w:cs="Arial"/>
          <w:sz w:val="24"/>
          <w:szCs w:val="24"/>
        </w:rPr>
        <w:t xml:space="preserve">protections </w:t>
      </w:r>
      <w:r w:rsidR="00E461CD">
        <w:rPr>
          <w:rFonts w:ascii="Arial Narrow" w:hAnsi="Arial Narrow" w:cs="Arial"/>
          <w:sz w:val="24"/>
          <w:szCs w:val="24"/>
        </w:rPr>
        <w:t>of</w:t>
      </w:r>
      <w:r w:rsidR="00F1134A" w:rsidRPr="00883AD4">
        <w:rPr>
          <w:rFonts w:ascii="Arial Narrow" w:hAnsi="Arial Narrow" w:cs="Arial"/>
          <w:sz w:val="24"/>
          <w:szCs w:val="24"/>
        </w:rPr>
        <w:t xml:space="preserve"> the</w:t>
      </w:r>
      <w:r w:rsidR="00E461CD">
        <w:rPr>
          <w:rFonts w:ascii="Arial Narrow" w:hAnsi="Arial Narrow" w:cs="Arial"/>
          <w:sz w:val="24"/>
          <w:szCs w:val="24"/>
        </w:rPr>
        <w:t xml:space="preserve"> EU</w:t>
      </w:r>
      <w:r w:rsidR="00F1134A" w:rsidRPr="00883AD4">
        <w:rPr>
          <w:rFonts w:ascii="Arial Narrow" w:hAnsi="Arial Narrow" w:cs="Arial"/>
          <w:sz w:val="24"/>
          <w:szCs w:val="24"/>
        </w:rPr>
        <w:t xml:space="preserve"> Charter of Fundamental Rights</w:t>
      </w:r>
      <w:r w:rsidR="0092110B" w:rsidRPr="00883AD4">
        <w:rPr>
          <w:rFonts w:ascii="Arial Narrow" w:hAnsi="Arial Narrow" w:cs="Arial"/>
          <w:sz w:val="24"/>
          <w:szCs w:val="24"/>
        </w:rPr>
        <w:t xml:space="preserve">. </w:t>
      </w:r>
      <w:r w:rsidR="008A71E0" w:rsidRPr="00883AD4">
        <w:rPr>
          <w:rFonts w:ascii="Arial Narrow" w:hAnsi="Arial Narrow" w:cs="Arial"/>
          <w:sz w:val="24"/>
          <w:szCs w:val="24"/>
        </w:rPr>
        <w:t xml:space="preserve">We highlight that there is little-to-no appetite in Scottish civil society to see </w:t>
      </w:r>
      <w:r w:rsidR="008A71E0" w:rsidRPr="00883AD4">
        <w:rPr>
          <w:rFonts w:ascii="Arial Narrow" w:hAnsi="Arial Narrow" w:cs="Arial"/>
          <w:i/>
          <w:iCs/>
          <w:sz w:val="24"/>
          <w:szCs w:val="24"/>
        </w:rPr>
        <w:t>any</w:t>
      </w:r>
      <w:r w:rsidR="008A71E0" w:rsidRPr="00883AD4">
        <w:rPr>
          <w:rFonts w:ascii="Arial Narrow" w:hAnsi="Arial Narrow" w:cs="Arial"/>
          <w:sz w:val="24"/>
          <w:szCs w:val="24"/>
        </w:rPr>
        <w:t xml:space="preserve"> weakening of </w:t>
      </w:r>
      <w:r w:rsidR="00940948" w:rsidRPr="00883AD4">
        <w:rPr>
          <w:rFonts w:ascii="Arial Narrow" w:hAnsi="Arial Narrow" w:cs="Arial"/>
          <w:sz w:val="24"/>
          <w:szCs w:val="24"/>
        </w:rPr>
        <w:t>how the HRA can be used to ensure government accountability</w:t>
      </w:r>
      <w:r w:rsidR="008A71E0" w:rsidRPr="00883AD4">
        <w:rPr>
          <w:rFonts w:ascii="Arial Narrow" w:hAnsi="Arial Narrow" w:cs="Arial"/>
          <w:sz w:val="24"/>
          <w:szCs w:val="24"/>
        </w:rPr>
        <w:t xml:space="preserve">. </w:t>
      </w:r>
      <w:r w:rsidR="002F57A2" w:rsidRPr="00883AD4">
        <w:rPr>
          <w:rFonts w:ascii="Arial Narrow" w:hAnsi="Arial Narrow" w:cs="Arial"/>
          <w:sz w:val="24"/>
          <w:szCs w:val="24"/>
        </w:rPr>
        <w:t>As discussed in more detail below, this is because the HRA has:</w:t>
      </w:r>
      <w:r w:rsidR="008A71E0" w:rsidRPr="00883AD4">
        <w:rPr>
          <w:rFonts w:ascii="Arial Narrow" w:hAnsi="Arial Narrow" w:cs="Arial"/>
          <w:sz w:val="24"/>
          <w:szCs w:val="24"/>
        </w:rPr>
        <w:t xml:space="preserve"> </w:t>
      </w:r>
    </w:p>
    <w:p w14:paraId="3722AEB0" w14:textId="1DD548FE" w:rsidR="008A71E0" w:rsidRPr="00883AD4" w:rsidRDefault="00F1134A" w:rsidP="008A71E0">
      <w:pPr>
        <w:pStyle w:val="ListParagraph"/>
        <w:numPr>
          <w:ilvl w:val="0"/>
          <w:numId w:val="2"/>
        </w:numPr>
        <w:rPr>
          <w:rFonts w:ascii="Arial Narrow" w:hAnsi="Arial Narrow" w:cs="Arial"/>
          <w:sz w:val="24"/>
          <w:szCs w:val="24"/>
        </w:rPr>
      </w:pPr>
      <w:r w:rsidRPr="00883AD4">
        <w:rPr>
          <w:rFonts w:ascii="Arial Narrow" w:hAnsi="Arial Narrow" w:cs="Arial"/>
          <w:sz w:val="24"/>
          <w:szCs w:val="24"/>
        </w:rPr>
        <w:t>p</w:t>
      </w:r>
      <w:r w:rsidR="002F57A2" w:rsidRPr="00883AD4">
        <w:rPr>
          <w:rFonts w:ascii="Arial Narrow" w:hAnsi="Arial Narrow" w:cs="Arial"/>
          <w:sz w:val="24"/>
          <w:szCs w:val="24"/>
        </w:rPr>
        <w:t>rovided v</w:t>
      </w:r>
      <w:r w:rsidR="008A71E0" w:rsidRPr="00883AD4">
        <w:rPr>
          <w:rFonts w:ascii="Arial Narrow" w:hAnsi="Arial Narrow" w:cs="Arial"/>
          <w:sz w:val="24"/>
          <w:szCs w:val="24"/>
        </w:rPr>
        <w:t xml:space="preserve">ital protection for individuals, </w:t>
      </w:r>
      <w:r w:rsidRPr="00883AD4">
        <w:rPr>
          <w:rFonts w:ascii="Arial Narrow" w:hAnsi="Arial Narrow" w:cs="Arial"/>
          <w:sz w:val="24"/>
          <w:szCs w:val="24"/>
        </w:rPr>
        <w:t xml:space="preserve">particularly </w:t>
      </w:r>
      <w:r w:rsidR="008A71E0" w:rsidRPr="00883AD4">
        <w:rPr>
          <w:rFonts w:ascii="Arial Narrow" w:hAnsi="Arial Narrow" w:cs="Arial"/>
          <w:sz w:val="24"/>
          <w:szCs w:val="24"/>
        </w:rPr>
        <w:t xml:space="preserve">those who are </w:t>
      </w:r>
      <w:r w:rsidRPr="00883AD4">
        <w:rPr>
          <w:rFonts w:ascii="Arial Narrow" w:hAnsi="Arial Narrow" w:cs="Arial"/>
          <w:sz w:val="24"/>
          <w:szCs w:val="24"/>
        </w:rPr>
        <w:t xml:space="preserve">most </w:t>
      </w:r>
      <w:r w:rsidR="008A71E0" w:rsidRPr="00883AD4">
        <w:rPr>
          <w:rFonts w:ascii="Arial Narrow" w:hAnsi="Arial Narrow" w:cs="Arial"/>
          <w:sz w:val="24"/>
          <w:szCs w:val="24"/>
        </w:rPr>
        <w:t>marginalised</w:t>
      </w:r>
      <w:r w:rsidR="002F57A2" w:rsidRPr="00883AD4">
        <w:rPr>
          <w:rFonts w:ascii="Arial Narrow" w:hAnsi="Arial Narrow" w:cs="Arial"/>
          <w:sz w:val="24"/>
          <w:szCs w:val="24"/>
        </w:rPr>
        <w:t xml:space="preserve">.  If it had not been for the protection of the HRA, their voices would not have been heard, and decisions would have been taken that would have ridden roughshod over their lives, families and </w:t>
      </w:r>
      <w:proofErr w:type="gramStart"/>
      <w:r w:rsidR="002F57A2" w:rsidRPr="00883AD4">
        <w:rPr>
          <w:rFonts w:ascii="Arial Narrow" w:hAnsi="Arial Narrow" w:cs="Arial"/>
          <w:sz w:val="24"/>
          <w:szCs w:val="24"/>
        </w:rPr>
        <w:t>dignity</w:t>
      </w:r>
      <w:r w:rsidR="00940948" w:rsidRPr="00883AD4">
        <w:rPr>
          <w:rFonts w:ascii="Arial Narrow" w:hAnsi="Arial Narrow" w:cs="Arial"/>
          <w:sz w:val="24"/>
          <w:szCs w:val="24"/>
        </w:rPr>
        <w:t>;</w:t>
      </w:r>
      <w:proofErr w:type="gramEnd"/>
    </w:p>
    <w:p w14:paraId="75BDDC71" w14:textId="1A5DEF59" w:rsidR="008A71E0" w:rsidRPr="00883AD4" w:rsidRDefault="00F1134A" w:rsidP="008A71E0">
      <w:pPr>
        <w:pStyle w:val="ListParagraph"/>
        <w:numPr>
          <w:ilvl w:val="0"/>
          <w:numId w:val="2"/>
        </w:numPr>
        <w:rPr>
          <w:rFonts w:ascii="Arial Narrow" w:hAnsi="Arial Narrow" w:cs="Arial"/>
          <w:sz w:val="24"/>
          <w:szCs w:val="24"/>
        </w:rPr>
      </w:pPr>
      <w:r w:rsidRPr="00883AD4">
        <w:rPr>
          <w:rFonts w:ascii="Arial Narrow" w:hAnsi="Arial Narrow" w:cs="Arial"/>
          <w:sz w:val="24"/>
          <w:szCs w:val="24"/>
        </w:rPr>
        <w:t>he</w:t>
      </w:r>
      <w:r w:rsidR="008A71E0" w:rsidRPr="00883AD4">
        <w:rPr>
          <w:rFonts w:ascii="Arial Narrow" w:hAnsi="Arial Narrow" w:cs="Arial"/>
          <w:sz w:val="24"/>
          <w:szCs w:val="24"/>
        </w:rPr>
        <w:t xml:space="preserve">lped to </w:t>
      </w:r>
      <w:r w:rsidR="002F57A2" w:rsidRPr="00883AD4">
        <w:rPr>
          <w:rFonts w:ascii="Arial Narrow" w:hAnsi="Arial Narrow" w:cs="Arial"/>
          <w:sz w:val="24"/>
          <w:szCs w:val="24"/>
        </w:rPr>
        <w:t xml:space="preserve">increasingly </w:t>
      </w:r>
      <w:r w:rsidR="008A71E0" w:rsidRPr="00883AD4">
        <w:rPr>
          <w:rFonts w:ascii="Arial Narrow" w:hAnsi="Arial Narrow" w:cs="Arial"/>
          <w:sz w:val="24"/>
          <w:szCs w:val="24"/>
        </w:rPr>
        <w:t xml:space="preserve">drive </w:t>
      </w:r>
      <w:r w:rsidR="002F57A2" w:rsidRPr="00883AD4">
        <w:rPr>
          <w:rFonts w:ascii="Arial Narrow" w:hAnsi="Arial Narrow" w:cs="Arial"/>
          <w:sz w:val="24"/>
          <w:szCs w:val="24"/>
        </w:rPr>
        <w:t xml:space="preserve">the </w:t>
      </w:r>
      <w:r w:rsidR="008A71E0" w:rsidRPr="00883AD4">
        <w:rPr>
          <w:rFonts w:ascii="Arial Narrow" w:hAnsi="Arial Narrow" w:cs="Arial"/>
          <w:sz w:val="24"/>
          <w:szCs w:val="24"/>
        </w:rPr>
        <w:t xml:space="preserve">development of human rights </w:t>
      </w:r>
      <w:r w:rsidR="00BE0891" w:rsidRPr="00883AD4">
        <w:rPr>
          <w:rFonts w:ascii="Arial Narrow" w:hAnsi="Arial Narrow" w:cs="Arial"/>
          <w:sz w:val="24"/>
          <w:szCs w:val="24"/>
        </w:rPr>
        <w:t>decision making</w:t>
      </w:r>
      <w:r w:rsidR="008A71E0" w:rsidRPr="00883AD4">
        <w:rPr>
          <w:rFonts w:ascii="Arial Narrow" w:hAnsi="Arial Narrow" w:cs="Arial"/>
          <w:sz w:val="24"/>
          <w:szCs w:val="24"/>
        </w:rPr>
        <w:t xml:space="preserve"> in public </w:t>
      </w:r>
      <w:proofErr w:type="gramStart"/>
      <w:r w:rsidR="008A71E0" w:rsidRPr="00883AD4">
        <w:rPr>
          <w:rFonts w:ascii="Arial Narrow" w:hAnsi="Arial Narrow" w:cs="Arial"/>
          <w:sz w:val="24"/>
          <w:szCs w:val="24"/>
        </w:rPr>
        <w:t>authorities</w:t>
      </w:r>
      <w:r w:rsidR="00940948" w:rsidRPr="00883AD4">
        <w:rPr>
          <w:rFonts w:ascii="Arial Narrow" w:hAnsi="Arial Narrow" w:cs="Arial"/>
          <w:sz w:val="24"/>
          <w:szCs w:val="24"/>
        </w:rPr>
        <w:t>;</w:t>
      </w:r>
      <w:proofErr w:type="gramEnd"/>
      <w:r w:rsidR="008A71E0" w:rsidRPr="00883AD4">
        <w:rPr>
          <w:rFonts w:ascii="Arial Narrow" w:hAnsi="Arial Narrow" w:cs="Arial"/>
          <w:sz w:val="24"/>
          <w:szCs w:val="24"/>
        </w:rPr>
        <w:t xml:space="preserve"> </w:t>
      </w:r>
    </w:p>
    <w:p w14:paraId="267041D8" w14:textId="0A2EB69D" w:rsidR="008A71E0" w:rsidRPr="00883AD4" w:rsidRDefault="00F1134A" w:rsidP="008A71E0">
      <w:pPr>
        <w:pStyle w:val="ListParagraph"/>
        <w:numPr>
          <w:ilvl w:val="0"/>
          <w:numId w:val="2"/>
        </w:numPr>
        <w:rPr>
          <w:rFonts w:ascii="Arial Narrow" w:hAnsi="Arial Narrow" w:cs="Arial"/>
          <w:sz w:val="24"/>
          <w:szCs w:val="24"/>
        </w:rPr>
      </w:pPr>
      <w:r w:rsidRPr="00883AD4">
        <w:rPr>
          <w:rFonts w:ascii="Arial Narrow" w:hAnsi="Arial Narrow" w:cs="Arial"/>
          <w:sz w:val="24"/>
          <w:szCs w:val="24"/>
        </w:rPr>
        <w:t>l</w:t>
      </w:r>
      <w:r w:rsidR="008A71E0" w:rsidRPr="00883AD4">
        <w:rPr>
          <w:rFonts w:ascii="Arial Narrow" w:hAnsi="Arial Narrow" w:cs="Arial"/>
          <w:sz w:val="24"/>
          <w:szCs w:val="24"/>
        </w:rPr>
        <w:t>ed to better law and policy making</w:t>
      </w:r>
      <w:r w:rsidR="002F57A2" w:rsidRPr="00883AD4">
        <w:rPr>
          <w:rFonts w:ascii="Arial Narrow" w:hAnsi="Arial Narrow" w:cs="Arial"/>
          <w:sz w:val="24"/>
          <w:szCs w:val="24"/>
        </w:rPr>
        <w:t xml:space="preserve"> in the Scottish Government and </w:t>
      </w:r>
      <w:proofErr w:type="gramStart"/>
      <w:r w:rsidR="002F57A2" w:rsidRPr="00883AD4">
        <w:rPr>
          <w:rFonts w:ascii="Arial Narrow" w:hAnsi="Arial Narrow" w:cs="Arial"/>
          <w:sz w:val="24"/>
          <w:szCs w:val="24"/>
        </w:rPr>
        <w:t>Parliament</w:t>
      </w:r>
      <w:r w:rsidR="00940948" w:rsidRPr="00883AD4">
        <w:rPr>
          <w:rFonts w:ascii="Arial Narrow" w:hAnsi="Arial Narrow" w:cs="Arial"/>
          <w:sz w:val="24"/>
          <w:szCs w:val="24"/>
        </w:rPr>
        <w:t>;</w:t>
      </w:r>
      <w:proofErr w:type="gramEnd"/>
    </w:p>
    <w:p w14:paraId="46FD6EEB" w14:textId="32134160" w:rsidR="008A71E0" w:rsidRPr="00883AD4" w:rsidRDefault="00F1134A" w:rsidP="008A71E0">
      <w:pPr>
        <w:pStyle w:val="ListParagraph"/>
        <w:numPr>
          <w:ilvl w:val="0"/>
          <w:numId w:val="2"/>
        </w:numPr>
        <w:rPr>
          <w:rFonts w:ascii="Arial Narrow" w:hAnsi="Arial Narrow" w:cs="Arial"/>
          <w:sz w:val="24"/>
          <w:szCs w:val="24"/>
        </w:rPr>
      </w:pPr>
      <w:r w:rsidRPr="00883AD4">
        <w:rPr>
          <w:rFonts w:ascii="Arial Narrow" w:hAnsi="Arial Narrow" w:cs="Arial"/>
          <w:sz w:val="24"/>
          <w:szCs w:val="24"/>
        </w:rPr>
        <w:t>i</w:t>
      </w:r>
      <w:r w:rsidR="008A71E0" w:rsidRPr="00883AD4">
        <w:rPr>
          <w:rFonts w:ascii="Arial Narrow" w:hAnsi="Arial Narrow" w:cs="Arial"/>
          <w:sz w:val="24"/>
          <w:szCs w:val="24"/>
        </w:rPr>
        <w:t>mproved</w:t>
      </w:r>
      <w:r w:rsidR="00BE0891" w:rsidRPr="00883AD4">
        <w:rPr>
          <w:rFonts w:ascii="Arial Narrow" w:hAnsi="Arial Narrow" w:cs="Arial"/>
          <w:sz w:val="24"/>
          <w:szCs w:val="24"/>
        </w:rPr>
        <w:t xml:space="preserve"> public services</w:t>
      </w:r>
      <w:r w:rsidR="00940948" w:rsidRPr="00883AD4">
        <w:rPr>
          <w:rFonts w:ascii="Arial Narrow" w:hAnsi="Arial Narrow" w:cs="Arial"/>
          <w:sz w:val="24"/>
          <w:szCs w:val="24"/>
        </w:rPr>
        <w:t>.</w:t>
      </w:r>
    </w:p>
    <w:p w14:paraId="261CE68C" w14:textId="5183B29F" w:rsidR="002F57A2" w:rsidRPr="00C579F8" w:rsidRDefault="00BE0891" w:rsidP="002F57A2">
      <w:pPr>
        <w:rPr>
          <w:rFonts w:ascii="Arial Narrow" w:hAnsi="Arial Narrow" w:cs="Arial"/>
          <w:b/>
          <w:bCs/>
          <w:sz w:val="24"/>
          <w:szCs w:val="24"/>
        </w:rPr>
      </w:pPr>
      <w:r w:rsidRPr="00C579F8">
        <w:rPr>
          <w:rFonts w:ascii="Arial Narrow" w:hAnsi="Arial Narrow" w:cs="Arial"/>
          <w:b/>
          <w:bCs/>
          <w:sz w:val="24"/>
          <w:szCs w:val="24"/>
        </w:rPr>
        <w:t>We strongly recommend</w:t>
      </w:r>
      <w:r w:rsidR="00665D93">
        <w:rPr>
          <w:rFonts w:ascii="Arial Narrow" w:hAnsi="Arial Narrow" w:cs="Arial"/>
          <w:b/>
          <w:bCs/>
          <w:sz w:val="24"/>
          <w:szCs w:val="24"/>
        </w:rPr>
        <w:t>ed</w:t>
      </w:r>
      <w:r w:rsidRPr="00C579F8">
        <w:rPr>
          <w:rFonts w:ascii="Arial Narrow" w:hAnsi="Arial Narrow" w:cs="Arial"/>
          <w:b/>
          <w:bCs/>
          <w:sz w:val="24"/>
          <w:szCs w:val="24"/>
        </w:rPr>
        <w:t xml:space="preserve"> that </w:t>
      </w:r>
      <w:r w:rsidR="00D67571">
        <w:rPr>
          <w:rFonts w:ascii="Arial Narrow" w:hAnsi="Arial Narrow" w:cs="Arial"/>
          <w:b/>
          <w:bCs/>
          <w:sz w:val="24"/>
          <w:szCs w:val="24"/>
        </w:rPr>
        <w:t>IHRAR</w:t>
      </w:r>
      <w:r w:rsidRPr="00C579F8">
        <w:rPr>
          <w:rFonts w:ascii="Arial Narrow" w:hAnsi="Arial Narrow" w:cs="Arial"/>
          <w:b/>
          <w:bCs/>
          <w:sz w:val="24"/>
          <w:szCs w:val="24"/>
        </w:rPr>
        <w:t xml:space="preserve"> make</w:t>
      </w:r>
      <w:r w:rsidR="00C579F8" w:rsidRPr="00C579F8">
        <w:rPr>
          <w:rFonts w:ascii="Arial Narrow" w:hAnsi="Arial Narrow" w:cs="Arial"/>
          <w:b/>
          <w:bCs/>
          <w:sz w:val="24"/>
          <w:szCs w:val="24"/>
        </w:rPr>
        <w:t>s</w:t>
      </w:r>
      <w:r w:rsidRPr="00C579F8">
        <w:rPr>
          <w:rFonts w:ascii="Arial Narrow" w:hAnsi="Arial Narrow" w:cs="Arial"/>
          <w:b/>
          <w:bCs/>
          <w:sz w:val="24"/>
          <w:szCs w:val="24"/>
        </w:rPr>
        <w:t xml:space="preserve"> no recommendations that would lead to the HRA having any less </w:t>
      </w:r>
      <w:r w:rsidR="00940948" w:rsidRPr="00C579F8">
        <w:rPr>
          <w:rFonts w:ascii="Arial Narrow" w:hAnsi="Arial Narrow" w:cs="Arial"/>
          <w:b/>
          <w:bCs/>
          <w:sz w:val="24"/>
          <w:szCs w:val="24"/>
        </w:rPr>
        <w:t xml:space="preserve">‘teeth’, </w:t>
      </w:r>
      <w:proofErr w:type="gramStart"/>
      <w:r w:rsidRPr="00C579F8">
        <w:rPr>
          <w:rFonts w:ascii="Arial Narrow" w:hAnsi="Arial Narrow" w:cs="Arial"/>
          <w:b/>
          <w:bCs/>
          <w:sz w:val="24"/>
          <w:szCs w:val="24"/>
        </w:rPr>
        <w:t>impact</w:t>
      </w:r>
      <w:proofErr w:type="gramEnd"/>
      <w:r w:rsidRPr="00C579F8">
        <w:rPr>
          <w:rFonts w:ascii="Arial Narrow" w:hAnsi="Arial Narrow" w:cs="Arial"/>
          <w:b/>
          <w:bCs/>
          <w:sz w:val="24"/>
          <w:szCs w:val="24"/>
        </w:rPr>
        <w:t xml:space="preserve"> and effectiveness in protecting individuals, on law and policy, and on improving our public services.</w:t>
      </w:r>
    </w:p>
    <w:p w14:paraId="5BDBA409" w14:textId="59F73D8A" w:rsidR="00893D6C" w:rsidRPr="00883AD4" w:rsidRDefault="00893D6C" w:rsidP="00940948">
      <w:pPr>
        <w:rPr>
          <w:rFonts w:ascii="Arial Narrow" w:hAnsi="Arial Narrow" w:cs="Arial"/>
          <w:sz w:val="24"/>
          <w:szCs w:val="24"/>
        </w:rPr>
      </w:pPr>
      <w:r w:rsidRPr="00883AD4">
        <w:rPr>
          <w:rFonts w:ascii="Arial Narrow" w:hAnsi="Arial Narrow" w:cs="Arial"/>
          <w:b/>
          <w:bCs/>
          <w:sz w:val="24"/>
          <w:szCs w:val="24"/>
        </w:rPr>
        <w:t>We also highlight that the</w:t>
      </w:r>
      <w:r w:rsidR="00E25B6B">
        <w:rPr>
          <w:rFonts w:ascii="Arial Narrow" w:hAnsi="Arial Narrow" w:cs="Arial"/>
          <w:b/>
          <w:bCs/>
          <w:sz w:val="24"/>
          <w:szCs w:val="24"/>
        </w:rPr>
        <w:t>re</w:t>
      </w:r>
      <w:r w:rsidRPr="00883AD4">
        <w:rPr>
          <w:rFonts w:ascii="Arial Narrow" w:hAnsi="Arial Narrow" w:cs="Arial"/>
          <w:b/>
          <w:bCs/>
          <w:sz w:val="24"/>
          <w:szCs w:val="24"/>
        </w:rPr>
        <w:t xml:space="preserve"> must </w:t>
      </w:r>
      <w:r w:rsidR="00E25B6B">
        <w:rPr>
          <w:rFonts w:ascii="Arial Narrow" w:hAnsi="Arial Narrow" w:cs="Arial"/>
          <w:b/>
          <w:bCs/>
          <w:sz w:val="24"/>
          <w:szCs w:val="24"/>
        </w:rPr>
        <w:t xml:space="preserve">be </w:t>
      </w:r>
      <w:r w:rsidRPr="00883AD4">
        <w:rPr>
          <w:rFonts w:ascii="Arial Narrow" w:hAnsi="Arial Narrow" w:cs="Arial"/>
          <w:b/>
          <w:bCs/>
          <w:sz w:val="24"/>
          <w:szCs w:val="24"/>
        </w:rPr>
        <w:t>utmost caution around the impact of any recommendations within the context of devolution in Scotland</w:t>
      </w:r>
      <w:r w:rsidR="00940948" w:rsidRPr="00883AD4">
        <w:rPr>
          <w:rFonts w:ascii="Arial Narrow" w:hAnsi="Arial Narrow" w:cs="Arial"/>
          <w:b/>
          <w:bCs/>
          <w:sz w:val="24"/>
          <w:szCs w:val="24"/>
        </w:rPr>
        <w:t>.</w:t>
      </w:r>
      <w:r w:rsidR="00940948" w:rsidRPr="00883AD4">
        <w:rPr>
          <w:rFonts w:ascii="Arial Narrow" w:hAnsi="Arial Narrow" w:cs="Arial"/>
          <w:sz w:val="24"/>
          <w:szCs w:val="24"/>
        </w:rPr>
        <w:t xml:space="preserve">  This is because firstly, the HRA is embedded into, and </w:t>
      </w:r>
      <w:r w:rsidR="00940948" w:rsidRPr="00883AD4">
        <w:rPr>
          <w:rFonts w:ascii="Arial Narrow" w:hAnsi="Arial Narrow" w:cs="Arial"/>
          <w:sz w:val="24"/>
          <w:szCs w:val="24"/>
        </w:rPr>
        <w:lastRenderedPageBreak/>
        <w:t xml:space="preserve">interwoven throughout devolution, both in its basis within the Scotland Act 1998 and the particularities of the ‘strike down’ power, but also in the ways in which devolution has developed. As Scottish courts have increasingly become used to </w:t>
      </w:r>
      <w:r w:rsidR="00F1134A" w:rsidRPr="00883AD4">
        <w:rPr>
          <w:rFonts w:ascii="Arial Narrow" w:hAnsi="Arial Narrow" w:cs="Arial"/>
          <w:sz w:val="24"/>
          <w:szCs w:val="24"/>
        </w:rPr>
        <w:t>considerations</w:t>
      </w:r>
      <w:r w:rsidR="00940948" w:rsidRPr="00883AD4">
        <w:rPr>
          <w:rFonts w:ascii="Arial Narrow" w:hAnsi="Arial Narrow" w:cs="Arial"/>
          <w:sz w:val="24"/>
          <w:szCs w:val="24"/>
        </w:rPr>
        <w:t xml:space="preserve"> around HRA implications and implementation, so has the Parliament increasingly becoming used to discussion on law and policy based on the underpinning of the HRA and what it looks like in practice through clarity in domestic and European Court of Human Rights (ECtHR) case law. </w:t>
      </w:r>
    </w:p>
    <w:p w14:paraId="17A570E4" w14:textId="2C81FE34" w:rsidR="00940948" w:rsidRPr="00883AD4" w:rsidRDefault="00940948" w:rsidP="00940948">
      <w:pPr>
        <w:pStyle w:val="NormalWeb"/>
        <w:spacing w:before="0" w:beforeAutospacing="0" w:after="160" w:afterAutospacing="0"/>
        <w:rPr>
          <w:rFonts w:ascii="Arial Narrow" w:hAnsi="Arial Narrow" w:cs="Arial"/>
        </w:rPr>
      </w:pPr>
      <w:r w:rsidRPr="00883AD4">
        <w:rPr>
          <w:rFonts w:ascii="Arial Narrow" w:hAnsi="Arial Narrow" w:cs="Arial"/>
        </w:rPr>
        <w:t xml:space="preserve">Secondly, and most importantly, Scotland is </w:t>
      </w:r>
      <w:r w:rsidR="00E25B6B">
        <w:rPr>
          <w:rFonts w:ascii="Arial Narrow" w:hAnsi="Arial Narrow" w:cs="Arial"/>
        </w:rPr>
        <w:t xml:space="preserve">embarking on </w:t>
      </w:r>
      <w:r w:rsidRPr="00883AD4">
        <w:rPr>
          <w:rFonts w:ascii="Arial Narrow" w:hAnsi="Arial Narrow" w:cs="Arial"/>
        </w:rPr>
        <w:t xml:space="preserve">major human rights law reform.  </w:t>
      </w:r>
      <w:r w:rsidR="005B33ED">
        <w:rPr>
          <w:rFonts w:ascii="Arial Narrow" w:hAnsi="Arial Narrow" w:cs="Arial"/>
        </w:rPr>
        <w:t xml:space="preserve">In recent days, a Bill to incorporate </w:t>
      </w:r>
      <w:r w:rsidRPr="00883AD4">
        <w:rPr>
          <w:rFonts w:ascii="Arial Narrow" w:hAnsi="Arial Narrow" w:cs="Arial"/>
          <w:color w:val="000000"/>
        </w:rPr>
        <w:t xml:space="preserve">the UN Convention on the Rights of the Child (UNCRC) into Scots law has been </w:t>
      </w:r>
      <w:r w:rsidR="005B33ED">
        <w:rPr>
          <w:rFonts w:ascii="Arial Narrow" w:hAnsi="Arial Narrow" w:cs="Arial"/>
          <w:color w:val="000000"/>
        </w:rPr>
        <w:t xml:space="preserve">passed by </w:t>
      </w:r>
      <w:r w:rsidRPr="00883AD4">
        <w:rPr>
          <w:rFonts w:ascii="Arial Narrow" w:hAnsi="Arial Narrow" w:cs="Arial"/>
          <w:color w:val="000000"/>
        </w:rPr>
        <w:t>the Scottish Parliament. Taking a maximalist approach within the devolved settlement, this Bill is world-leading</w:t>
      </w:r>
      <w:r w:rsidR="00F236FC">
        <w:rPr>
          <w:rFonts w:ascii="Arial Narrow" w:hAnsi="Arial Narrow" w:cs="Arial"/>
          <w:color w:val="000000"/>
        </w:rPr>
        <w:t xml:space="preserve"> and will bring significant improvement in children and young people’s experience of rights. We highlight that this Bill was very widely supported across civil society and across all political parties.</w:t>
      </w:r>
    </w:p>
    <w:p w14:paraId="3CAB7E83" w14:textId="16871CCF" w:rsidR="00525D75" w:rsidRDefault="00940948" w:rsidP="00940948">
      <w:pPr>
        <w:pStyle w:val="NormalWeb"/>
        <w:spacing w:before="0" w:beforeAutospacing="0" w:after="160" w:afterAutospacing="0"/>
        <w:rPr>
          <w:rFonts w:ascii="Arial Narrow" w:hAnsi="Arial Narrow" w:cs="Arial"/>
          <w:color w:val="000000"/>
        </w:rPr>
      </w:pPr>
      <w:r w:rsidRPr="00883AD4">
        <w:rPr>
          <w:rFonts w:ascii="Arial Narrow" w:hAnsi="Arial Narrow" w:cs="Arial"/>
          <w:color w:val="000000"/>
        </w:rPr>
        <w:t xml:space="preserve">In parallel, a National Taskforce on Human Rights Leadership </w:t>
      </w:r>
      <w:r w:rsidR="00F236FC">
        <w:rPr>
          <w:rFonts w:ascii="Arial Narrow" w:hAnsi="Arial Narrow" w:cs="Arial"/>
          <w:color w:val="000000"/>
        </w:rPr>
        <w:t xml:space="preserve">has published </w:t>
      </w:r>
      <w:r w:rsidRPr="00883AD4">
        <w:rPr>
          <w:rFonts w:ascii="Arial Narrow" w:hAnsi="Arial Narrow" w:cs="Arial"/>
          <w:color w:val="000000"/>
        </w:rPr>
        <w:t xml:space="preserve">recommendations for a broader new human </w:t>
      </w:r>
      <w:proofErr w:type="gramStart"/>
      <w:r w:rsidRPr="00883AD4">
        <w:rPr>
          <w:rFonts w:ascii="Arial Narrow" w:hAnsi="Arial Narrow" w:cs="Arial"/>
          <w:color w:val="000000"/>
        </w:rPr>
        <w:t>rights</w:t>
      </w:r>
      <w:proofErr w:type="gramEnd"/>
      <w:r w:rsidRPr="00883AD4">
        <w:rPr>
          <w:rFonts w:ascii="Arial Narrow" w:hAnsi="Arial Narrow" w:cs="Arial"/>
          <w:color w:val="000000"/>
        </w:rPr>
        <w:t xml:space="preserve"> statutory framework for Scotland. </w:t>
      </w:r>
      <w:r w:rsidR="00207AEE">
        <w:rPr>
          <w:rFonts w:ascii="Arial Narrow" w:hAnsi="Arial Narrow" w:cs="Arial"/>
          <w:color w:val="000000"/>
        </w:rPr>
        <w:t xml:space="preserve">The Taskforce recommended incorporation of four international rights treaties: </w:t>
      </w:r>
      <w:proofErr w:type="gramStart"/>
      <w:r w:rsidR="00207AEE">
        <w:rPr>
          <w:rFonts w:ascii="Arial Narrow" w:hAnsi="Arial Narrow" w:cs="Arial"/>
          <w:color w:val="000000"/>
        </w:rPr>
        <w:t>the</w:t>
      </w:r>
      <w:proofErr w:type="gramEnd"/>
      <w:r w:rsidR="00207AEE">
        <w:rPr>
          <w:rFonts w:ascii="Arial Narrow" w:hAnsi="Arial Narrow" w:cs="Arial"/>
          <w:color w:val="000000"/>
        </w:rPr>
        <w:t xml:space="preserve"> International Covenant on Economic, Social and Cultural Rights (ICESCR), </w:t>
      </w:r>
      <w:r w:rsidR="00207AEE" w:rsidRPr="00883AD4">
        <w:rPr>
          <w:rFonts w:ascii="Arial Narrow" w:hAnsi="Arial Narrow" w:cs="Arial"/>
          <w:color w:val="000000"/>
        </w:rPr>
        <w:t>the Convention to Eliminate Discrimination Against Women (CEDAW), the Convention on the Rights of Disabled People (UNCRPD) and the Convention to Eliminate Racial Discrimination (CERD). </w:t>
      </w:r>
      <w:r w:rsidR="00207AEE">
        <w:rPr>
          <w:rFonts w:ascii="Arial Narrow" w:hAnsi="Arial Narrow" w:cs="Arial"/>
          <w:color w:val="000000"/>
        </w:rPr>
        <w:t>In addition</w:t>
      </w:r>
      <w:r w:rsidR="00683858">
        <w:rPr>
          <w:rFonts w:ascii="Arial Narrow" w:hAnsi="Arial Narrow" w:cs="Arial"/>
          <w:color w:val="000000"/>
        </w:rPr>
        <w:t>,</w:t>
      </w:r>
      <w:r w:rsidR="00207AEE">
        <w:rPr>
          <w:rFonts w:ascii="Arial Narrow" w:hAnsi="Arial Narrow" w:cs="Arial"/>
          <w:color w:val="000000"/>
        </w:rPr>
        <w:t xml:space="preserve"> it recommended putting </w:t>
      </w:r>
      <w:r w:rsidRPr="00883AD4">
        <w:rPr>
          <w:rFonts w:ascii="Arial Narrow" w:hAnsi="Arial Narrow" w:cs="Arial"/>
          <w:color w:val="000000"/>
        </w:rPr>
        <w:t xml:space="preserve">the right to a healthy environment in Scots law for the first time, </w:t>
      </w:r>
      <w:r w:rsidR="00207AEE">
        <w:rPr>
          <w:rFonts w:ascii="Arial Narrow" w:hAnsi="Arial Narrow" w:cs="Arial"/>
          <w:color w:val="000000"/>
        </w:rPr>
        <w:t xml:space="preserve">as well as rights for </w:t>
      </w:r>
      <w:proofErr w:type="spellStart"/>
      <w:r w:rsidR="00207AEE">
        <w:rPr>
          <w:rFonts w:ascii="Arial Narrow" w:hAnsi="Arial Narrow" w:cs="Arial"/>
          <w:color w:val="000000"/>
        </w:rPr>
        <w:t>LGBTi</w:t>
      </w:r>
      <w:proofErr w:type="spellEnd"/>
      <w:r w:rsidR="00207AEE">
        <w:rPr>
          <w:rFonts w:ascii="Arial Narrow" w:hAnsi="Arial Narrow" w:cs="Arial"/>
          <w:color w:val="000000"/>
        </w:rPr>
        <w:t xml:space="preserve"> people and older people. </w:t>
      </w:r>
      <w:r w:rsidR="005E489C">
        <w:rPr>
          <w:rFonts w:ascii="Arial Narrow" w:hAnsi="Arial Narrow" w:cs="Arial"/>
          <w:color w:val="000000"/>
        </w:rPr>
        <w:t>T</w:t>
      </w:r>
      <w:r w:rsidR="00562126">
        <w:rPr>
          <w:rFonts w:ascii="Arial Narrow" w:hAnsi="Arial Narrow" w:cs="Arial"/>
          <w:color w:val="000000"/>
        </w:rPr>
        <w:t xml:space="preserve">he Taskforce </w:t>
      </w:r>
      <w:r w:rsidR="005E489C">
        <w:rPr>
          <w:rFonts w:ascii="Arial Narrow" w:hAnsi="Arial Narrow" w:cs="Arial"/>
          <w:color w:val="000000"/>
        </w:rPr>
        <w:t xml:space="preserve">also </w:t>
      </w:r>
      <w:r w:rsidR="00562126">
        <w:rPr>
          <w:rFonts w:ascii="Arial Narrow" w:hAnsi="Arial Narrow" w:cs="Arial"/>
          <w:color w:val="000000"/>
        </w:rPr>
        <w:t>proposed new duties on public authorities</w:t>
      </w:r>
      <w:r w:rsidR="005E489C">
        <w:rPr>
          <w:rFonts w:ascii="Arial Narrow" w:hAnsi="Arial Narrow" w:cs="Arial"/>
          <w:color w:val="000000"/>
        </w:rPr>
        <w:t>,</w:t>
      </w:r>
      <w:r w:rsidR="0059763B">
        <w:rPr>
          <w:rFonts w:ascii="Arial Narrow" w:hAnsi="Arial Narrow" w:cs="Arial"/>
          <w:color w:val="000000"/>
        </w:rPr>
        <w:t xml:space="preserve"> and further exploration of how we can ensure that </w:t>
      </w:r>
      <w:r w:rsidR="00E77C19">
        <w:rPr>
          <w:rFonts w:ascii="Arial Narrow" w:hAnsi="Arial Narrow" w:cs="Arial"/>
          <w:color w:val="000000"/>
        </w:rPr>
        <w:t xml:space="preserve">routes to remedy are </w:t>
      </w:r>
      <w:r w:rsidR="002E7648">
        <w:rPr>
          <w:rFonts w:ascii="Arial Narrow" w:hAnsi="Arial Narrow" w:cs="Arial"/>
          <w:color w:val="000000"/>
        </w:rPr>
        <w:t xml:space="preserve">accessible, affordable, timely and effective. </w:t>
      </w:r>
      <w:r w:rsidR="00983919">
        <w:rPr>
          <w:rFonts w:ascii="Arial Narrow" w:hAnsi="Arial Narrow" w:cs="Arial"/>
          <w:color w:val="000000"/>
        </w:rPr>
        <w:t xml:space="preserve">The </w:t>
      </w:r>
      <w:r w:rsidR="002E7648">
        <w:rPr>
          <w:rFonts w:ascii="Arial Narrow" w:hAnsi="Arial Narrow" w:cs="Arial"/>
          <w:color w:val="000000"/>
        </w:rPr>
        <w:t>Scottish Government has committed</w:t>
      </w:r>
      <w:r w:rsidR="00983919">
        <w:rPr>
          <w:rFonts w:ascii="Arial Narrow" w:hAnsi="Arial Narrow" w:cs="Arial"/>
          <w:color w:val="000000"/>
        </w:rPr>
        <w:t xml:space="preserve"> to implementing </w:t>
      </w:r>
      <w:proofErr w:type="gramStart"/>
      <w:r w:rsidR="00983919">
        <w:rPr>
          <w:rFonts w:ascii="Arial Narrow" w:hAnsi="Arial Narrow" w:cs="Arial"/>
          <w:color w:val="000000"/>
        </w:rPr>
        <w:t>all of</w:t>
      </w:r>
      <w:proofErr w:type="gramEnd"/>
      <w:r w:rsidR="00983919">
        <w:rPr>
          <w:rFonts w:ascii="Arial Narrow" w:hAnsi="Arial Narrow" w:cs="Arial"/>
          <w:color w:val="000000"/>
        </w:rPr>
        <w:t xml:space="preserve"> these recommendations </w:t>
      </w:r>
      <w:r w:rsidR="00525D75">
        <w:rPr>
          <w:rFonts w:ascii="Arial Narrow" w:hAnsi="Arial Narrow" w:cs="Arial"/>
          <w:color w:val="000000"/>
        </w:rPr>
        <w:t>(</w:t>
      </w:r>
      <w:r w:rsidR="00683858">
        <w:rPr>
          <w:rFonts w:ascii="Arial Narrow" w:hAnsi="Arial Narrow" w:cs="Arial"/>
          <w:color w:val="000000"/>
        </w:rPr>
        <w:t>if re-elected in May</w:t>
      </w:r>
      <w:r w:rsidR="00525D75">
        <w:rPr>
          <w:rFonts w:ascii="Arial Narrow" w:hAnsi="Arial Narrow" w:cs="Arial"/>
          <w:color w:val="000000"/>
        </w:rPr>
        <w:t>)</w:t>
      </w:r>
      <w:r w:rsidR="00683858">
        <w:rPr>
          <w:rFonts w:ascii="Arial Narrow" w:hAnsi="Arial Narrow" w:cs="Arial"/>
          <w:color w:val="000000"/>
        </w:rPr>
        <w:t>.</w:t>
      </w:r>
      <w:r w:rsidR="00525D75">
        <w:rPr>
          <w:rFonts w:ascii="Arial Narrow" w:hAnsi="Arial Narrow" w:cs="Arial"/>
          <w:color w:val="000000"/>
        </w:rPr>
        <w:t xml:space="preserve">  </w:t>
      </w:r>
    </w:p>
    <w:p w14:paraId="40E88E9B" w14:textId="6F33D582" w:rsidR="00940948" w:rsidRPr="00883AD4" w:rsidRDefault="00525D75" w:rsidP="00940948">
      <w:pPr>
        <w:pStyle w:val="NormalWeb"/>
        <w:spacing w:before="0" w:beforeAutospacing="0" w:after="160" w:afterAutospacing="0"/>
        <w:rPr>
          <w:rFonts w:ascii="Arial Narrow" w:hAnsi="Arial Narrow" w:cs="Arial"/>
        </w:rPr>
      </w:pPr>
      <w:r>
        <w:rPr>
          <w:rFonts w:ascii="Arial Narrow" w:hAnsi="Arial Narrow" w:cs="Arial"/>
          <w:color w:val="000000"/>
        </w:rPr>
        <w:t xml:space="preserve">We further highlight that to inform the work of the Taskforce, the Consortium together with the Scottish Human Rights Commission </w:t>
      </w:r>
      <w:r w:rsidR="008F65DF">
        <w:rPr>
          <w:rFonts w:ascii="Arial Narrow" w:hAnsi="Arial Narrow" w:cs="Arial"/>
          <w:color w:val="000000"/>
        </w:rPr>
        <w:t xml:space="preserve">facilitated the All Our Rights </w:t>
      </w:r>
      <w:proofErr w:type="gramStart"/>
      <w:r w:rsidR="008F65DF">
        <w:rPr>
          <w:rFonts w:ascii="Arial Narrow" w:hAnsi="Arial Narrow" w:cs="Arial"/>
          <w:color w:val="000000"/>
        </w:rPr>
        <w:t>In</w:t>
      </w:r>
      <w:proofErr w:type="gramEnd"/>
      <w:r w:rsidR="008F65DF">
        <w:rPr>
          <w:rFonts w:ascii="Arial Narrow" w:hAnsi="Arial Narrow" w:cs="Arial"/>
          <w:color w:val="000000"/>
        </w:rPr>
        <w:t xml:space="preserve"> Law project that gathered the views of over 400 people about new human rights law. </w:t>
      </w:r>
      <w:r w:rsidR="00E47A0A">
        <w:rPr>
          <w:rFonts w:ascii="Arial Narrow" w:hAnsi="Arial Narrow" w:cs="Arial"/>
          <w:color w:val="000000"/>
        </w:rPr>
        <w:t xml:space="preserve">The project particularly spoke to those groups most at risk of infringements of their rights or </w:t>
      </w:r>
      <w:r w:rsidR="000D74CD">
        <w:rPr>
          <w:rFonts w:ascii="Arial Narrow" w:hAnsi="Arial Narrow" w:cs="Arial"/>
          <w:color w:val="000000"/>
        </w:rPr>
        <w:t xml:space="preserve">who are </w:t>
      </w:r>
      <w:proofErr w:type="gramStart"/>
      <w:r w:rsidR="00E47A0A">
        <w:rPr>
          <w:rFonts w:ascii="Arial Narrow" w:hAnsi="Arial Narrow" w:cs="Arial"/>
          <w:color w:val="000000"/>
        </w:rPr>
        <w:t>seldom-heard</w:t>
      </w:r>
      <w:proofErr w:type="gramEnd"/>
      <w:r w:rsidR="00E47A0A">
        <w:rPr>
          <w:rFonts w:ascii="Arial Narrow" w:hAnsi="Arial Narrow" w:cs="Arial"/>
          <w:color w:val="000000"/>
        </w:rPr>
        <w:t xml:space="preserve"> in human rights developments. </w:t>
      </w:r>
      <w:r w:rsidR="008F65DF">
        <w:rPr>
          <w:rFonts w:ascii="Arial Narrow" w:hAnsi="Arial Narrow" w:cs="Arial"/>
          <w:color w:val="000000"/>
        </w:rPr>
        <w:t>The findings of this project are</w:t>
      </w:r>
      <w:r w:rsidR="004C0137">
        <w:rPr>
          <w:rFonts w:ascii="Arial Narrow" w:hAnsi="Arial Narrow" w:cs="Arial"/>
          <w:color w:val="000000"/>
        </w:rPr>
        <w:t xml:space="preserve"> </w:t>
      </w:r>
      <w:r w:rsidR="00E47A0A">
        <w:rPr>
          <w:rFonts w:ascii="Arial Narrow" w:hAnsi="Arial Narrow" w:cs="Arial"/>
          <w:color w:val="000000"/>
        </w:rPr>
        <w:t>specific</w:t>
      </w:r>
      <w:r w:rsidR="004C0137">
        <w:rPr>
          <w:rFonts w:ascii="Arial Narrow" w:hAnsi="Arial Narrow" w:cs="Arial"/>
          <w:color w:val="000000"/>
        </w:rPr>
        <w:t xml:space="preserve"> to the new human </w:t>
      </w:r>
      <w:proofErr w:type="gramStart"/>
      <w:r w:rsidR="004C0137">
        <w:rPr>
          <w:rFonts w:ascii="Arial Narrow" w:hAnsi="Arial Narrow" w:cs="Arial"/>
          <w:color w:val="000000"/>
        </w:rPr>
        <w:t>rights</w:t>
      </w:r>
      <w:proofErr w:type="gramEnd"/>
      <w:r w:rsidR="004C0137">
        <w:rPr>
          <w:rFonts w:ascii="Arial Narrow" w:hAnsi="Arial Narrow" w:cs="Arial"/>
          <w:color w:val="000000"/>
        </w:rPr>
        <w:t xml:space="preserve"> statutory framework in Scotland</w:t>
      </w:r>
      <w:r w:rsidR="00286DD0">
        <w:rPr>
          <w:rFonts w:ascii="Arial Narrow" w:hAnsi="Arial Narrow" w:cs="Arial"/>
          <w:color w:val="000000"/>
        </w:rPr>
        <w:t xml:space="preserve"> - however, </w:t>
      </w:r>
      <w:r w:rsidR="004C0137">
        <w:rPr>
          <w:rFonts w:ascii="Arial Narrow" w:hAnsi="Arial Narrow" w:cs="Arial"/>
          <w:color w:val="000000"/>
        </w:rPr>
        <w:t xml:space="preserve">they are also extremely </w:t>
      </w:r>
      <w:r w:rsidR="001446FC">
        <w:rPr>
          <w:rFonts w:ascii="Arial Narrow" w:hAnsi="Arial Narrow" w:cs="Arial"/>
          <w:color w:val="000000"/>
        </w:rPr>
        <w:t xml:space="preserve">valuable </w:t>
      </w:r>
      <w:r w:rsidR="004C0137">
        <w:rPr>
          <w:rFonts w:ascii="Arial Narrow" w:hAnsi="Arial Narrow" w:cs="Arial"/>
          <w:color w:val="000000"/>
        </w:rPr>
        <w:t xml:space="preserve">for </w:t>
      </w:r>
      <w:r w:rsidR="00BE3997">
        <w:rPr>
          <w:rFonts w:ascii="Arial Narrow" w:hAnsi="Arial Narrow" w:cs="Arial"/>
          <w:color w:val="000000"/>
        </w:rPr>
        <w:t>understanding what is important to people about human rights law</w:t>
      </w:r>
      <w:r w:rsidR="00286DD0">
        <w:rPr>
          <w:rFonts w:ascii="Arial Narrow" w:hAnsi="Arial Narrow" w:cs="Arial"/>
          <w:color w:val="000000"/>
        </w:rPr>
        <w:t>s in general</w:t>
      </w:r>
      <w:r w:rsidR="00C44046">
        <w:rPr>
          <w:rFonts w:ascii="Arial Narrow" w:hAnsi="Arial Narrow" w:cs="Arial"/>
          <w:color w:val="000000"/>
        </w:rPr>
        <w:t xml:space="preserve">. A summary of the project’s findings </w:t>
      </w:r>
      <w:proofErr w:type="gramStart"/>
      <w:r w:rsidR="00C44046">
        <w:rPr>
          <w:rFonts w:ascii="Arial Narrow" w:hAnsi="Arial Narrow" w:cs="Arial"/>
          <w:color w:val="000000"/>
        </w:rPr>
        <w:t>are</w:t>
      </w:r>
      <w:proofErr w:type="gramEnd"/>
      <w:r w:rsidR="00C44046">
        <w:rPr>
          <w:rFonts w:ascii="Arial Narrow" w:hAnsi="Arial Narrow" w:cs="Arial"/>
          <w:color w:val="000000"/>
        </w:rPr>
        <w:t xml:space="preserve"> provided in Annex A.</w:t>
      </w:r>
    </w:p>
    <w:p w14:paraId="34B3977E" w14:textId="42DDA195" w:rsidR="00940948" w:rsidRPr="000D74CD" w:rsidRDefault="00940948" w:rsidP="00940948">
      <w:pPr>
        <w:pStyle w:val="NormalWeb"/>
        <w:spacing w:before="0" w:beforeAutospacing="0" w:after="160" w:afterAutospacing="0"/>
        <w:rPr>
          <w:rFonts w:ascii="Arial Narrow" w:hAnsi="Arial Narrow" w:cs="Arial"/>
          <w:b/>
          <w:bCs/>
          <w:color w:val="000000"/>
        </w:rPr>
      </w:pPr>
      <w:r w:rsidRPr="000D74CD">
        <w:rPr>
          <w:rFonts w:ascii="Arial Narrow" w:hAnsi="Arial Narrow" w:cs="Arial"/>
          <w:b/>
          <w:bCs/>
          <w:color w:val="000000"/>
        </w:rPr>
        <w:t xml:space="preserve">Taken together, these developments point to a radical and ambitious new human rights landscape in Scotland, one that will mean that human rights law will </w:t>
      </w:r>
      <w:r w:rsidR="00C57900" w:rsidRPr="000D74CD">
        <w:rPr>
          <w:rFonts w:ascii="Arial Narrow" w:hAnsi="Arial Narrow" w:cs="Arial"/>
          <w:b/>
          <w:bCs/>
          <w:color w:val="000000"/>
        </w:rPr>
        <w:t xml:space="preserve">only have more significant </w:t>
      </w:r>
      <w:r w:rsidRPr="000D74CD">
        <w:rPr>
          <w:rFonts w:ascii="Arial Narrow" w:hAnsi="Arial Narrow" w:cs="Arial"/>
          <w:b/>
          <w:bCs/>
          <w:color w:val="000000"/>
        </w:rPr>
        <w:t>impact</w:t>
      </w:r>
      <w:r w:rsidR="00C57900" w:rsidRPr="000D74CD">
        <w:rPr>
          <w:rFonts w:ascii="Arial Narrow" w:hAnsi="Arial Narrow" w:cs="Arial"/>
          <w:b/>
          <w:bCs/>
          <w:color w:val="000000"/>
        </w:rPr>
        <w:t xml:space="preserve"> than ever before on</w:t>
      </w:r>
      <w:r w:rsidRPr="000D74CD">
        <w:rPr>
          <w:rFonts w:ascii="Arial Narrow" w:hAnsi="Arial Narrow" w:cs="Arial"/>
          <w:b/>
          <w:bCs/>
          <w:color w:val="000000"/>
        </w:rPr>
        <w:t xml:space="preserve"> culture, policy and practice for both communities and public authorities</w:t>
      </w:r>
      <w:r w:rsidR="00C57900" w:rsidRPr="000D74CD">
        <w:rPr>
          <w:rFonts w:ascii="Arial Narrow" w:hAnsi="Arial Narrow" w:cs="Arial"/>
          <w:b/>
          <w:bCs/>
          <w:color w:val="000000"/>
        </w:rPr>
        <w:t>.</w:t>
      </w:r>
    </w:p>
    <w:p w14:paraId="4B8CB289" w14:textId="167E5BBD" w:rsidR="00C57900" w:rsidRPr="00883AD4" w:rsidRDefault="00C57900" w:rsidP="00940948">
      <w:pPr>
        <w:pStyle w:val="NormalWeb"/>
        <w:spacing w:before="0" w:beforeAutospacing="0" w:after="160" w:afterAutospacing="0"/>
        <w:rPr>
          <w:rFonts w:ascii="Arial Narrow" w:hAnsi="Arial Narrow" w:cs="Arial"/>
          <w:color w:val="000000"/>
        </w:rPr>
      </w:pPr>
      <w:r w:rsidRPr="00883AD4">
        <w:rPr>
          <w:rFonts w:ascii="Arial Narrow" w:hAnsi="Arial Narrow" w:cs="Arial"/>
          <w:color w:val="000000"/>
        </w:rPr>
        <w:t xml:space="preserve">It is in this context that </w:t>
      </w:r>
      <w:r w:rsidRPr="00883AD4">
        <w:rPr>
          <w:rFonts w:ascii="Arial Narrow" w:hAnsi="Arial Narrow" w:cs="Arial"/>
          <w:b/>
          <w:bCs/>
          <w:color w:val="000000"/>
        </w:rPr>
        <w:t>any amendments to the HRA and how it operates could have highly regrettable</w:t>
      </w:r>
      <w:r w:rsidR="00E461CD">
        <w:rPr>
          <w:rFonts w:ascii="Arial Narrow" w:hAnsi="Arial Narrow" w:cs="Arial"/>
          <w:b/>
          <w:bCs/>
          <w:color w:val="000000"/>
        </w:rPr>
        <w:t>,</w:t>
      </w:r>
      <w:r w:rsidRPr="00883AD4">
        <w:rPr>
          <w:rFonts w:ascii="Arial Narrow" w:hAnsi="Arial Narrow" w:cs="Arial"/>
          <w:b/>
          <w:bCs/>
          <w:color w:val="000000"/>
        </w:rPr>
        <w:t xml:space="preserve"> detrimental impacts on these very positive and welcome human rights advances in Scotland. </w:t>
      </w:r>
      <w:r w:rsidRPr="00883AD4">
        <w:rPr>
          <w:rFonts w:ascii="Arial Narrow" w:hAnsi="Arial Narrow" w:cs="Arial"/>
          <w:color w:val="000000"/>
        </w:rPr>
        <w:t>Prof</w:t>
      </w:r>
      <w:r w:rsidR="00C579F8">
        <w:rPr>
          <w:rFonts w:ascii="Arial Narrow" w:hAnsi="Arial Narrow" w:cs="Arial"/>
          <w:color w:val="000000"/>
        </w:rPr>
        <w:t>essor</w:t>
      </w:r>
      <w:r w:rsidRPr="00883AD4">
        <w:rPr>
          <w:rFonts w:ascii="Arial Narrow" w:hAnsi="Arial Narrow" w:cs="Arial"/>
          <w:color w:val="000000"/>
        </w:rPr>
        <w:t xml:space="preserve"> Nicole Busby</w:t>
      </w:r>
      <w:r w:rsidR="00C579F8">
        <w:rPr>
          <w:rFonts w:ascii="Arial Narrow" w:hAnsi="Arial Narrow" w:cs="Arial"/>
          <w:color w:val="000000"/>
        </w:rPr>
        <w:t>, in a briefing paper for the Civil Society Brexit Project,</w:t>
      </w:r>
      <w:r w:rsidR="00C579F8">
        <w:rPr>
          <w:rStyle w:val="FootnoteReference"/>
          <w:rFonts w:ascii="Arial Narrow" w:hAnsi="Arial Narrow" w:cs="Arial"/>
          <w:color w:val="000000"/>
        </w:rPr>
        <w:footnoteReference w:id="3"/>
      </w:r>
      <w:r w:rsidRPr="00883AD4">
        <w:rPr>
          <w:rFonts w:ascii="Arial Narrow" w:hAnsi="Arial Narrow" w:cs="Arial"/>
          <w:color w:val="000000"/>
        </w:rPr>
        <w:t xml:space="preserve"> states:</w:t>
      </w:r>
    </w:p>
    <w:p w14:paraId="1DDA1D0F" w14:textId="3785BF05" w:rsidR="00C57900" w:rsidRPr="00883AD4" w:rsidRDefault="00C57900" w:rsidP="00940948">
      <w:pPr>
        <w:pStyle w:val="NormalWeb"/>
        <w:spacing w:before="0" w:beforeAutospacing="0" w:after="160" w:afterAutospacing="0"/>
        <w:rPr>
          <w:rFonts w:ascii="Arial Narrow" w:hAnsi="Arial Narrow" w:cs="Arial"/>
          <w:i/>
          <w:iCs/>
        </w:rPr>
      </w:pPr>
      <w:r w:rsidRPr="00883AD4">
        <w:rPr>
          <w:rFonts w:ascii="Arial Narrow" w:hAnsi="Arial Narrow" w:cs="Arial"/>
          <w:i/>
          <w:iCs/>
        </w:rPr>
        <w:t xml:space="preserve">‘Whilst the scope of the Review appears to preclude repeal of the HRA, it is not known how extensive its recommendations for reform will be. If adopted by the UK Parliament, the current devolution arrangements could prove to be problematic for any such reform, in the most extreme case requiring amendments to be made to the relevant statutes including the Scotland Act. Perhaps more likely, even </w:t>
      </w:r>
      <w:r w:rsidRPr="00883AD4">
        <w:rPr>
          <w:rFonts w:ascii="Arial Narrow" w:hAnsi="Arial Narrow" w:cs="Arial"/>
          <w:i/>
          <w:iCs/>
        </w:rPr>
        <w:lastRenderedPageBreak/>
        <w:t>in the case of relatively minor amendment, is the potential for any proposed reform to disturb the progressive and ongoing development of a human rights-based approach and corresponding culture within Scotland’s political institutions with resulting impacts felt by its wider society.’</w:t>
      </w:r>
    </w:p>
    <w:p w14:paraId="0650DE92" w14:textId="7D06B082" w:rsidR="00940948" w:rsidRDefault="00C579F8" w:rsidP="00940948">
      <w:pPr>
        <w:rPr>
          <w:rFonts w:ascii="Arial Narrow" w:hAnsi="Arial Narrow" w:cs="Arial"/>
          <w:sz w:val="24"/>
          <w:szCs w:val="24"/>
        </w:rPr>
      </w:pPr>
      <w:r>
        <w:rPr>
          <w:rFonts w:ascii="Arial Narrow" w:hAnsi="Arial Narrow" w:cs="Arial"/>
          <w:sz w:val="24"/>
          <w:szCs w:val="24"/>
        </w:rPr>
        <w:t>Prof Busby goes on to state:</w:t>
      </w:r>
    </w:p>
    <w:p w14:paraId="04AE6FEE" w14:textId="6AB14AE8" w:rsidR="00C579F8" w:rsidRPr="00C579F8" w:rsidRDefault="00C579F8" w:rsidP="00940948">
      <w:pPr>
        <w:rPr>
          <w:rFonts w:ascii="Arial Narrow" w:hAnsi="Arial Narrow" w:cs="Arial"/>
          <w:i/>
          <w:iCs/>
          <w:sz w:val="24"/>
          <w:szCs w:val="24"/>
        </w:rPr>
      </w:pPr>
      <w:r w:rsidRPr="00C579F8">
        <w:rPr>
          <w:rFonts w:ascii="Arial Narrow" w:hAnsi="Arial Narrow" w:cs="Arial"/>
          <w:i/>
          <w:iCs/>
          <w:sz w:val="24"/>
          <w:szCs w:val="24"/>
        </w:rPr>
        <w:t xml:space="preserve">‘The IRHRA does not, on the face of it, contain any direct threat to the continuance of Scotland’s human rights journey. Indeed, the UK Government’s stated commitment to the ECHR is very welcome. </w:t>
      </w:r>
      <w:proofErr w:type="gramStart"/>
      <w:r w:rsidRPr="00C579F8">
        <w:rPr>
          <w:rFonts w:ascii="Arial Narrow" w:hAnsi="Arial Narrow" w:cs="Arial"/>
          <w:i/>
          <w:iCs/>
          <w:sz w:val="24"/>
          <w:szCs w:val="24"/>
        </w:rPr>
        <w:t>However</w:t>
      </w:r>
      <w:proofErr w:type="gramEnd"/>
      <w:r w:rsidRPr="00C579F8">
        <w:rPr>
          <w:rFonts w:ascii="Arial Narrow" w:hAnsi="Arial Narrow" w:cs="Arial"/>
          <w:i/>
          <w:iCs/>
          <w:sz w:val="24"/>
          <w:szCs w:val="24"/>
        </w:rPr>
        <w:t xml:space="preserve">…the disturbance of any existing arrangements to the current structures within which the HRA operates risks unsettling the complex interaction between devolution and human rights which could give rise to a range of consequences for Scotland and her fellow devolved nations.’ </w:t>
      </w:r>
    </w:p>
    <w:p w14:paraId="45E6FD5F" w14:textId="77777777" w:rsidR="00AD6C36" w:rsidRPr="00883AD4" w:rsidRDefault="00AD6C36">
      <w:pPr>
        <w:rPr>
          <w:rFonts w:ascii="Arial Narrow" w:hAnsi="Arial Narrow" w:cs="Arial"/>
          <w:sz w:val="24"/>
          <w:szCs w:val="24"/>
        </w:rPr>
      </w:pPr>
    </w:p>
    <w:p w14:paraId="46B65FB4" w14:textId="2F73D9FD" w:rsidR="00475FB4" w:rsidRPr="00513B09" w:rsidRDefault="00475FB4">
      <w:pPr>
        <w:rPr>
          <w:rFonts w:ascii="Arial Narrow" w:hAnsi="Arial Narrow" w:cs="Arial"/>
          <w:b/>
          <w:bCs/>
          <w:sz w:val="28"/>
          <w:szCs w:val="28"/>
        </w:rPr>
      </w:pPr>
      <w:r w:rsidRPr="00513B09">
        <w:rPr>
          <w:rFonts w:ascii="Arial Narrow" w:hAnsi="Arial Narrow" w:cs="Arial"/>
          <w:b/>
          <w:bCs/>
          <w:sz w:val="28"/>
          <w:szCs w:val="28"/>
        </w:rPr>
        <w:t xml:space="preserve">The relationship between UK courts and the European Court of Human Rights (ECtHR) </w:t>
      </w:r>
    </w:p>
    <w:p w14:paraId="080E7A67" w14:textId="3BFD3DC3" w:rsidR="00DD516E" w:rsidRPr="00883AD4" w:rsidRDefault="00DD516E" w:rsidP="00DD516E">
      <w:pPr>
        <w:rPr>
          <w:rFonts w:ascii="Arial Narrow" w:hAnsi="Arial Narrow" w:cs="Arial"/>
          <w:sz w:val="24"/>
          <w:szCs w:val="24"/>
        </w:rPr>
      </w:pPr>
      <w:r w:rsidRPr="00883AD4">
        <w:rPr>
          <w:rFonts w:ascii="Arial Narrow" w:hAnsi="Arial Narrow" w:cs="Arial"/>
          <w:sz w:val="24"/>
          <w:szCs w:val="24"/>
        </w:rPr>
        <w:t>We see the strengths of the current relationship between UK courts and the ECtHR as set out in Section 2 of the HRA as:</w:t>
      </w:r>
    </w:p>
    <w:p w14:paraId="0CD4D8E4" w14:textId="63634CAF" w:rsidR="00064D76" w:rsidRPr="00883AD4" w:rsidRDefault="00883AD4" w:rsidP="00064D76">
      <w:pPr>
        <w:pStyle w:val="ListParagraph"/>
        <w:numPr>
          <w:ilvl w:val="0"/>
          <w:numId w:val="6"/>
        </w:numPr>
        <w:rPr>
          <w:rFonts w:ascii="Arial Narrow" w:hAnsi="Arial Narrow" w:cs="Arial"/>
          <w:b/>
          <w:bCs/>
          <w:sz w:val="24"/>
          <w:szCs w:val="24"/>
        </w:rPr>
      </w:pPr>
      <w:r w:rsidRPr="00883AD4">
        <w:rPr>
          <w:rFonts w:ascii="Arial Narrow" w:hAnsi="Arial Narrow" w:cs="Arial"/>
          <w:b/>
          <w:bCs/>
          <w:sz w:val="24"/>
          <w:szCs w:val="24"/>
        </w:rPr>
        <w:t>P</w:t>
      </w:r>
      <w:r w:rsidR="00DD516E" w:rsidRPr="00883AD4">
        <w:rPr>
          <w:rFonts w:ascii="Arial Narrow" w:hAnsi="Arial Narrow" w:cs="Arial"/>
          <w:b/>
          <w:bCs/>
          <w:sz w:val="24"/>
          <w:szCs w:val="24"/>
        </w:rPr>
        <w:t xml:space="preserve">olicy development </w:t>
      </w:r>
      <w:r w:rsidRPr="00883AD4">
        <w:rPr>
          <w:rFonts w:ascii="Arial Narrow" w:hAnsi="Arial Narrow" w:cs="Arial"/>
          <w:b/>
          <w:bCs/>
          <w:sz w:val="24"/>
          <w:szCs w:val="24"/>
        </w:rPr>
        <w:t xml:space="preserve">is better able to take into account human rights </w:t>
      </w:r>
      <w:r w:rsidR="00DD516E" w:rsidRPr="00883AD4">
        <w:rPr>
          <w:rFonts w:ascii="Arial Narrow" w:hAnsi="Arial Narrow" w:cs="Arial"/>
          <w:b/>
          <w:bCs/>
          <w:sz w:val="24"/>
          <w:szCs w:val="24"/>
        </w:rPr>
        <w:t xml:space="preserve">through use </w:t>
      </w:r>
      <w:r w:rsidR="00064D76" w:rsidRPr="00883AD4">
        <w:rPr>
          <w:rFonts w:ascii="Arial Narrow" w:hAnsi="Arial Narrow" w:cs="Arial"/>
          <w:b/>
          <w:bCs/>
          <w:sz w:val="24"/>
          <w:szCs w:val="24"/>
        </w:rPr>
        <w:t>of</w:t>
      </w:r>
      <w:r w:rsidR="00C874DE" w:rsidRPr="00883AD4">
        <w:rPr>
          <w:rFonts w:ascii="Arial Narrow" w:hAnsi="Arial Narrow" w:cs="Arial"/>
          <w:b/>
          <w:bCs/>
          <w:sz w:val="24"/>
          <w:szCs w:val="24"/>
        </w:rPr>
        <w:t xml:space="preserve"> </w:t>
      </w:r>
      <w:r w:rsidR="00064D76" w:rsidRPr="00883AD4">
        <w:rPr>
          <w:rFonts w:ascii="Arial Narrow" w:hAnsi="Arial Narrow" w:cs="Arial"/>
          <w:b/>
          <w:bCs/>
          <w:sz w:val="24"/>
          <w:szCs w:val="24"/>
        </w:rPr>
        <w:t xml:space="preserve">Strasbourg case </w:t>
      </w:r>
      <w:proofErr w:type="gramStart"/>
      <w:r w:rsidR="00064D76" w:rsidRPr="00883AD4">
        <w:rPr>
          <w:rFonts w:ascii="Arial Narrow" w:hAnsi="Arial Narrow" w:cs="Arial"/>
          <w:b/>
          <w:bCs/>
          <w:sz w:val="24"/>
          <w:szCs w:val="24"/>
        </w:rPr>
        <w:t>law</w:t>
      </w:r>
      <w:proofErr w:type="gramEnd"/>
    </w:p>
    <w:p w14:paraId="4527D488" w14:textId="135EC84F" w:rsidR="009041DD" w:rsidRDefault="00C874DE" w:rsidP="00064D76">
      <w:pPr>
        <w:rPr>
          <w:rFonts w:ascii="Arial Narrow" w:hAnsi="Arial Narrow" w:cs="Arial"/>
          <w:sz w:val="24"/>
          <w:szCs w:val="24"/>
        </w:rPr>
      </w:pPr>
      <w:r w:rsidRPr="00883AD4">
        <w:rPr>
          <w:rFonts w:ascii="Arial Narrow" w:hAnsi="Arial Narrow" w:cs="Arial"/>
          <w:sz w:val="24"/>
          <w:szCs w:val="24"/>
        </w:rPr>
        <w:t xml:space="preserve">Policy discussion and development in Scotland is increasingly marked by use, reference to and interaction with ECtHR case law.  As civil society organisations who are often involved in policy influencing, many Consortium member organisations refer to ECtHR cases in consultation responses, in evidence to parliamentary committees and </w:t>
      </w:r>
      <w:r w:rsidR="00523305" w:rsidRPr="00883AD4">
        <w:rPr>
          <w:rFonts w:ascii="Arial Narrow" w:hAnsi="Arial Narrow" w:cs="Arial"/>
          <w:sz w:val="24"/>
          <w:szCs w:val="24"/>
        </w:rPr>
        <w:t xml:space="preserve">in research policy briefings. The case law has enabled those engaged in policy discussion to tease out the details of how the HRA applies, so that this can </w:t>
      </w:r>
      <w:proofErr w:type="gramStart"/>
      <w:r w:rsidR="00523305" w:rsidRPr="00883AD4">
        <w:rPr>
          <w:rFonts w:ascii="Arial Narrow" w:hAnsi="Arial Narrow" w:cs="Arial"/>
          <w:sz w:val="24"/>
          <w:szCs w:val="24"/>
        </w:rPr>
        <w:t>actually have</w:t>
      </w:r>
      <w:proofErr w:type="gramEnd"/>
      <w:r w:rsidR="00523305" w:rsidRPr="00883AD4">
        <w:rPr>
          <w:rFonts w:ascii="Arial Narrow" w:hAnsi="Arial Narrow" w:cs="Arial"/>
          <w:sz w:val="24"/>
          <w:szCs w:val="24"/>
        </w:rPr>
        <w:t xml:space="preserve"> impact upon the policy and laws being developed. </w:t>
      </w:r>
      <w:r w:rsidR="00E6492E" w:rsidRPr="00883AD4">
        <w:rPr>
          <w:rFonts w:ascii="Arial Narrow" w:hAnsi="Arial Narrow" w:cs="Arial"/>
          <w:sz w:val="24"/>
          <w:szCs w:val="24"/>
        </w:rPr>
        <w:t xml:space="preserve">Whilst this reference to Strasbourg case law may still happen if ECtHR case law was not </w:t>
      </w:r>
      <w:proofErr w:type="gramStart"/>
      <w:r w:rsidR="00E6492E" w:rsidRPr="00883AD4">
        <w:rPr>
          <w:rFonts w:ascii="Arial Narrow" w:hAnsi="Arial Narrow" w:cs="Arial"/>
          <w:sz w:val="24"/>
          <w:szCs w:val="24"/>
        </w:rPr>
        <w:t>taken into account</w:t>
      </w:r>
      <w:proofErr w:type="gramEnd"/>
      <w:r w:rsidR="00E6492E" w:rsidRPr="00883AD4">
        <w:rPr>
          <w:rFonts w:ascii="Arial Narrow" w:hAnsi="Arial Narrow" w:cs="Arial"/>
          <w:sz w:val="24"/>
          <w:szCs w:val="24"/>
        </w:rPr>
        <w:t xml:space="preserve"> </w:t>
      </w:r>
      <w:r w:rsidR="005316B5" w:rsidRPr="00883AD4">
        <w:rPr>
          <w:rFonts w:ascii="Arial Narrow" w:hAnsi="Arial Narrow" w:cs="Arial"/>
          <w:sz w:val="24"/>
          <w:szCs w:val="24"/>
        </w:rPr>
        <w:t>under Sectio</w:t>
      </w:r>
      <w:r w:rsidR="00C579F8">
        <w:rPr>
          <w:rFonts w:ascii="Arial Narrow" w:hAnsi="Arial Narrow" w:cs="Arial"/>
          <w:sz w:val="24"/>
          <w:szCs w:val="24"/>
        </w:rPr>
        <w:t>n</w:t>
      </w:r>
      <w:r w:rsidR="005316B5" w:rsidRPr="00883AD4">
        <w:rPr>
          <w:rFonts w:ascii="Arial Narrow" w:hAnsi="Arial Narrow" w:cs="Arial"/>
          <w:sz w:val="24"/>
          <w:szCs w:val="24"/>
        </w:rPr>
        <w:t xml:space="preserve"> 2 of the HRA</w:t>
      </w:r>
      <w:r w:rsidR="00E6492E" w:rsidRPr="00883AD4">
        <w:rPr>
          <w:rFonts w:ascii="Arial Narrow" w:hAnsi="Arial Narrow" w:cs="Arial"/>
          <w:sz w:val="24"/>
          <w:szCs w:val="24"/>
        </w:rPr>
        <w:t>, it is the value of this case law</w:t>
      </w:r>
      <w:r w:rsidR="005316B5" w:rsidRPr="00883AD4">
        <w:rPr>
          <w:rFonts w:ascii="Arial Narrow" w:hAnsi="Arial Narrow" w:cs="Arial"/>
          <w:sz w:val="24"/>
          <w:szCs w:val="24"/>
        </w:rPr>
        <w:t>, to a certain extent,</w:t>
      </w:r>
      <w:r w:rsidR="00E6492E" w:rsidRPr="00883AD4">
        <w:rPr>
          <w:rFonts w:ascii="Arial Narrow" w:hAnsi="Arial Narrow" w:cs="Arial"/>
          <w:sz w:val="24"/>
          <w:szCs w:val="24"/>
        </w:rPr>
        <w:t xml:space="preserve"> </w:t>
      </w:r>
      <w:r w:rsidR="00C579F8">
        <w:rPr>
          <w:rFonts w:ascii="Arial Narrow" w:hAnsi="Arial Narrow" w:cs="Arial"/>
          <w:sz w:val="24"/>
          <w:szCs w:val="24"/>
        </w:rPr>
        <w:t xml:space="preserve">as </w:t>
      </w:r>
      <w:r w:rsidR="00E6492E" w:rsidRPr="00883AD4">
        <w:rPr>
          <w:rFonts w:ascii="Arial Narrow" w:hAnsi="Arial Narrow" w:cs="Arial"/>
          <w:sz w:val="24"/>
          <w:szCs w:val="24"/>
        </w:rPr>
        <w:t xml:space="preserve">a predictor and guide to how issues will be dealt with by UK courts, as well as a body of case law that provides rich, varied and evolving </w:t>
      </w:r>
      <w:r w:rsidR="003F47C7" w:rsidRPr="00883AD4">
        <w:rPr>
          <w:rFonts w:ascii="Arial Narrow" w:hAnsi="Arial Narrow" w:cs="Arial"/>
          <w:sz w:val="24"/>
          <w:szCs w:val="24"/>
        </w:rPr>
        <w:t>judgments</w:t>
      </w:r>
      <w:r w:rsidR="005316B5" w:rsidRPr="00883AD4">
        <w:rPr>
          <w:rFonts w:ascii="Arial Narrow" w:hAnsi="Arial Narrow" w:cs="Arial"/>
          <w:sz w:val="24"/>
          <w:szCs w:val="24"/>
        </w:rPr>
        <w:t>,</w:t>
      </w:r>
      <w:r w:rsidR="003F47C7" w:rsidRPr="00883AD4">
        <w:rPr>
          <w:rFonts w:ascii="Arial Narrow" w:hAnsi="Arial Narrow" w:cs="Arial"/>
          <w:sz w:val="24"/>
          <w:szCs w:val="24"/>
        </w:rPr>
        <w:t xml:space="preserve"> which is of particular value to civil society in their </w:t>
      </w:r>
      <w:r w:rsidR="005316B5" w:rsidRPr="00883AD4">
        <w:rPr>
          <w:rFonts w:ascii="Arial Narrow" w:hAnsi="Arial Narrow" w:cs="Arial"/>
          <w:sz w:val="24"/>
          <w:szCs w:val="24"/>
        </w:rPr>
        <w:t xml:space="preserve">policy </w:t>
      </w:r>
      <w:r w:rsidR="003F47C7" w:rsidRPr="00883AD4">
        <w:rPr>
          <w:rFonts w:ascii="Arial Narrow" w:hAnsi="Arial Narrow" w:cs="Arial"/>
          <w:sz w:val="24"/>
          <w:szCs w:val="24"/>
        </w:rPr>
        <w:t>role.</w:t>
      </w:r>
    </w:p>
    <w:p w14:paraId="7DD4C24B" w14:textId="42E4EF55" w:rsidR="00095972" w:rsidRDefault="00095972" w:rsidP="00064D76">
      <w:pPr>
        <w:rPr>
          <w:rFonts w:ascii="Arial Narrow" w:hAnsi="Arial Narrow" w:cs="Arial"/>
          <w:i/>
          <w:iCs/>
          <w:sz w:val="24"/>
          <w:szCs w:val="24"/>
        </w:rPr>
      </w:pPr>
      <w:r>
        <w:rPr>
          <w:rFonts w:ascii="Arial Narrow" w:hAnsi="Arial Narrow" w:cs="Arial"/>
          <w:i/>
          <w:iCs/>
          <w:noProof/>
          <w:sz w:val="24"/>
          <w:szCs w:val="24"/>
        </w:rPr>
        <mc:AlternateContent>
          <mc:Choice Requires="wps">
            <w:drawing>
              <wp:anchor distT="0" distB="0" distL="114300" distR="114300" simplePos="0" relativeHeight="251658241" behindDoc="0" locked="0" layoutInCell="1" allowOverlap="1" wp14:anchorId="63BE5569" wp14:editId="469E5F8F">
                <wp:simplePos x="0" y="0"/>
                <wp:positionH relativeFrom="column">
                  <wp:posOffset>-361950</wp:posOffset>
                </wp:positionH>
                <wp:positionV relativeFrom="paragraph">
                  <wp:posOffset>80645</wp:posOffset>
                </wp:positionV>
                <wp:extent cx="6381750" cy="1790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81750" cy="1790700"/>
                        </a:xfrm>
                        <a:prstGeom prst="rect">
                          <a:avLst/>
                        </a:prstGeom>
                        <a:solidFill>
                          <a:schemeClr val="lt1"/>
                        </a:solidFill>
                        <a:ln w="6350">
                          <a:solidFill>
                            <a:prstClr val="black"/>
                          </a:solidFill>
                        </a:ln>
                      </wps:spPr>
                      <wps:txbx>
                        <w:txbxContent>
                          <w:p w14:paraId="36C13525" w14:textId="77777777" w:rsidR="00095972" w:rsidRPr="00D54C03" w:rsidRDefault="00095972" w:rsidP="00095972">
                            <w:pPr>
                              <w:rPr>
                                <w:rFonts w:ascii="Arial Narrow" w:hAnsi="Arial Narrow" w:cs="Arial"/>
                                <w:b/>
                                <w:bCs/>
                                <w:sz w:val="24"/>
                                <w:szCs w:val="24"/>
                              </w:rPr>
                            </w:pPr>
                            <w:r w:rsidRPr="00D54C03">
                              <w:rPr>
                                <w:rFonts w:ascii="Arial Narrow" w:hAnsi="Arial Narrow" w:cs="Arial"/>
                                <w:b/>
                                <w:bCs/>
                                <w:sz w:val="24"/>
                                <w:szCs w:val="24"/>
                              </w:rPr>
                              <w:t>Example: Equal protection of children</w:t>
                            </w:r>
                          </w:p>
                          <w:p w14:paraId="2D2094C0" w14:textId="4626E1C8" w:rsidR="00095972" w:rsidRPr="00D54C03" w:rsidRDefault="00095972" w:rsidP="00095972">
                            <w:pPr>
                              <w:rPr>
                                <w:rFonts w:ascii="Arial Narrow" w:hAnsi="Arial Narrow" w:cs="Arial"/>
                                <w:sz w:val="24"/>
                                <w:szCs w:val="24"/>
                              </w:rPr>
                            </w:pPr>
                            <w:r w:rsidRPr="00D54C03">
                              <w:rPr>
                                <w:rFonts w:ascii="Arial Narrow" w:hAnsi="Arial Narrow" w:cs="Arial"/>
                                <w:sz w:val="24"/>
                                <w:szCs w:val="24"/>
                              </w:rPr>
                              <w:t xml:space="preserve">For several years there was considerable debate in Scottish society and parliament around whether the law that allowed physical punishment of children by their parents should be changed. Eventually in </w:t>
                            </w:r>
                            <w:r w:rsidR="00351AE9" w:rsidRPr="00D54C03">
                              <w:rPr>
                                <w:rFonts w:ascii="Arial Narrow" w:hAnsi="Arial Narrow" w:cs="Arial"/>
                                <w:sz w:val="24"/>
                                <w:szCs w:val="24"/>
                              </w:rPr>
                              <w:t>2019</w:t>
                            </w:r>
                            <w:r w:rsidRPr="00D54C03">
                              <w:rPr>
                                <w:rFonts w:ascii="Arial Narrow" w:hAnsi="Arial Narrow" w:cs="Arial"/>
                                <w:sz w:val="24"/>
                                <w:szCs w:val="24"/>
                              </w:rPr>
                              <w:t>, the law was changed to give children equal protection from assault. It is notable that within discussions that led to this law change, alongside clear advocacy for application of the UNCRC, there was also discussion around the application of case law from the ECtHR</w:t>
                            </w:r>
                            <w:r w:rsidRPr="00D54C03">
                              <w:rPr>
                                <w:rStyle w:val="FootnoteReference"/>
                                <w:rFonts w:ascii="Arial Narrow" w:hAnsi="Arial Narrow" w:cs="Arial"/>
                                <w:sz w:val="24"/>
                                <w:szCs w:val="24"/>
                              </w:rPr>
                              <w:footnoteRef/>
                            </w:r>
                            <w:r w:rsidRPr="00D54C03">
                              <w:rPr>
                                <w:rFonts w:ascii="Arial Narrow" w:hAnsi="Arial Narrow" w:cs="Arial"/>
                                <w:sz w:val="24"/>
                                <w:szCs w:val="24"/>
                              </w:rPr>
                              <w:t>. This case law was not always clear or straightforward – indeed, over several years the ECtHR evolved its case law in this area.  However</w:t>
                            </w:r>
                            <w:r w:rsidR="00351AE9" w:rsidRPr="00D54C03">
                              <w:rPr>
                                <w:rFonts w:ascii="Arial Narrow" w:hAnsi="Arial Narrow" w:cs="Arial"/>
                                <w:sz w:val="24"/>
                                <w:szCs w:val="24"/>
                              </w:rPr>
                              <w:t>,</w:t>
                            </w:r>
                            <w:r w:rsidRPr="00D54C03">
                              <w:rPr>
                                <w:rFonts w:ascii="Arial Narrow" w:hAnsi="Arial Narrow" w:cs="Arial"/>
                                <w:sz w:val="24"/>
                                <w:szCs w:val="24"/>
                              </w:rPr>
                              <w:t xml:space="preserve"> it was a point of helpful reference and evidence to guide decisions based on human rights compliance as well as Europe-wide standards to aspire to.</w:t>
                            </w:r>
                          </w:p>
                          <w:p w14:paraId="505C253E" w14:textId="77777777" w:rsidR="00095972" w:rsidRDefault="00095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E5569" id="_x0000_t202" coordsize="21600,21600" o:spt="202" path="m,l,21600r21600,l21600,xe">
                <v:stroke joinstyle="miter"/>
                <v:path gradientshapeok="t" o:connecttype="rect"/>
              </v:shapetype>
              <v:shape id="Text Box 2" o:spid="_x0000_s1026" type="#_x0000_t202" style="position:absolute;margin-left:-28.5pt;margin-top:6.35pt;width:502.5pt;height:1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nASgIAAKIEAAAOAAAAZHJzL2Uyb0RvYy54bWysVE1vGjEQvVfqf7B8bxYoCQliiShRqkoo&#10;iQRRzsbrhVW9Htc27NJf32fzEZL0VPXinS8/z7yZ2dFtW2u2Vc5XZHLevehwpoykojKrnD8v7r9c&#10;c+aDMIXQZFTOd8rz2/HnT6PGDlWP1qQL5RhAjB82NufrEOwwy7xcq1r4C7LKwFmSq0WA6lZZ4UQD&#10;9FpnvU7nKmvIFdaRVN7Derd38nHCL0slw2NZehWYzjlyC+l06VzGMxuPxHDlhF1X8pCG+IcsalEZ&#10;PHqCuhNBsI2rPkDVlXTkqQwXkuqMyrKSKtWAarqdd9XM18KqVAvI8fZEk/9/sPJh++RYVeS8x5kR&#10;NVq0UG1g36hlvchOY/0QQXOLsNDCjC4f7R7GWHRbujp+UQ6DHzzvTtxGMAnj1dfr7uASLglfd3DT&#10;GXQS+9nrdet8+K6oZlHIuUPzEqdiO/MBqSD0GBJf86Sr4r7SOilxYNRUO7YVaLUOKUnceBOlDWti&#10;KsjjA0KEPt1faiF/xjLfIkDTBsZIyr74KIV22R6YWlKxA1GO9oPmrbyvgDsTPjwJh8kCAdiW8Iij&#10;1IRk6CBxtib3+2/2GI+Gw8tZg0nNuf+1EU5xpn8YjMJNt9+Po52U/uWgB8Wde5bnHrOppwSGuthL&#10;K5MY44M+iqWj+gVLNYmvwiWMxNs5D0dxGvb7g6WUajJJQRhmK8LMzK2M0JHcyOeifRHOHvoZMAoP&#10;dJxpMXzX1n1svGlosglUVqnnkeA9qwfesQipLYeljZt2rqeo11/L+A8AAAD//wMAUEsDBBQABgAI&#10;AAAAIQBRjKuF3QAAAAoBAAAPAAAAZHJzL2Rvd25yZXYueG1sTI/NTsMwEITvSLyDtUjcWoeokB/i&#10;VIAKF04UxNmNXdsiXke2m4a3ZznBcWdGs99028WPbNYxuYACbtYFMI1DUA6NgI/351UNLGWJSo4B&#10;tYBvnWDbX150slXhjG963mfDqARTKwXYnKeW8zRY7WVah0kjeccQvcx0RsNVlGcq9yMvi+KOe+mQ&#10;Plg56Serh6/9yQvYPZrGDLWMdlcr5+bl8/hqXoS4vloe7oFlveS/MPziEzr0xHQIJ1SJjQJWtxVt&#10;yWSUFTAKNJuahIOAstlUwPuO/5/Q/wAAAP//AwBQSwECLQAUAAYACAAAACEAtoM4kv4AAADhAQAA&#10;EwAAAAAAAAAAAAAAAAAAAAAAW0NvbnRlbnRfVHlwZXNdLnhtbFBLAQItABQABgAIAAAAIQA4/SH/&#10;1gAAAJQBAAALAAAAAAAAAAAAAAAAAC8BAABfcmVscy8ucmVsc1BLAQItABQABgAIAAAAIQAWYknA&#10;SgIAAKIEAAAOAAAAAAAAAAAAAAAAAC4CAABkcnMvZTJvRG9jLnhtbFBLAQItABQABgAIAAAAIQBR&#10;jKuF3QAAAAoBAAAPAAAAAAAAAAAAAAAAAKQEAABkcnMvZG93bnJldi54bWxQSwUGAAAAAAQABADz&#10;AAAArgUAAAAA&#10;" fillcolor="white [3201]" strokeweight=".5pt">
                <v:textbox>
                  <w:txbxContent>
                    <w:p w14:paraId="36C13525" w14:textId="77777777" w:rsidR="00095972" w:rsidRPr="00D54C03" w:rsidRDefault="00095972" w:rsidP="00095972">
                      <w:pPr>
                        <w:rPr>
                          <w:rFonts w:ascii="Arial Narrow" w:hAnsi="Arial Narrow" w:cs="Arial"/>
                          <w:b/>
                          <w:bCs/>
                          <w:sz w:val="24"/>
                          <w:szCs w:val="24"/>
                        </w:rPr>
                      </w:pPr>
                      <w:r w:rsidRPr="00D54C03">
                        <w:rPr>
                          <w:rFonts w:ascii="Arial Narrow" w:hAnsi="Arial Narrow" w:cs="Arial"/>
                          <w:b/>
                          <w:bCs/>
                          <w:sz w:val="24"/>
                          <w:szCs w:val="24"/>
                        </w:rPr>
                        <w:t>Example: Equal protection of children</w:t>
                      </w:r>
                    </w:p>
                    <w:p w14:paraId="2D2094C0" w14:textId="4626E1C8" w:rsidR="00095972" w:rsidRPr="00D54C03" w:rsidRDefault="00095972" w:rsidP="00095972">
                      <w:pPr>
                        <w:rPr>
                          <w:rFonts w:ascii="Arial Narrow" w:hAnsi="Arial Narrow" w:cs="Arial"/>
                          <w:sz w:val="24"/>
                          <w:szCs w:val="24"/>
                        </w:rPr>
                      </w:pPr>
                      <w:r w:rsidRPr="00D54C03">
                        <w:rPr>
                          <w:rFonts w:ascii="Arial Narrow" w:hAnsi="Arial Narrow" w:cs="Arial"/>
                          <w:sz w:val="24"/>
                          <w:szCs w:val="24"/>
                        </w:rPr>
                        <w:t xml:space="preserve">For several years there was considerable debate in Scottish society and parliament around whether the law that allowed physical punishment of children by their parents should be changed. Eventually in </w:t>
                      </w:r>
                      <w:r w:rsidR="00351AE9" w:rsidRPr="00D54C03">
                        <w:rPr>
                          <w:rFonts w:ascii="Arial Narrow" w:hAnsi="Arial Narrow" w:cs="Arial"/>
                          <w:sz w:val="24"/>
                          <w:szCs w:val="24"/>
                        </w:rPr>
                        <w:t>2019</w:t>
                      </w:r>
                      <w:r w:rsidRPr="00D54C03">
                        <w:rPr>
                          <w:rFonts w:ascii="Arial Narrow" w:hAnsi="Arial Narrow" w:cs="Arial"/>
                          <w:sz w:val="24"/>
                          <w:szCs w:val="24"/>
                        </w:rPr>
                        <w:t>, the law was changed to give children equal protection from assault. It is notable that within discussions that led to this law change, alongside clear advocacy for application of the UNCRC, there was also discussion around the application of case law from the ECtHR</w:t>
                      </w:r>
                      <w:r w:rsidRPr="00D54C03">
                        <w:rPr>
                          <w:rStyle w:val="FootnoteReference"/>
                          <w:rFonts w:ascii="Arial Narrow" w:hAnsi="Arial Narrow" w:cs="Arial"/>
                          <w:sz w:val="24"/>
                          <w:szCs w:val="24"/>
                        </w:rPr>
                        <w:footnoteRef/>
                      </w:r>
                      <w:r w:rsidRPr="00D54C03">
                        <w:rPr>
                          <w:rFonts w:ascii="Arial Narrow" w:hAnsi="Arial Narrow" w:cs="Arial"/>
                          <w:sz w:val="24"/>
                          <w:szCs w:val="24"/>
                        </w:rPr>
                        <w:t>. This case law was not always clear or straightforward – indeed, over several years the ECtHR evolved its case law in this area.  However</w:t>
                      </w:r>
                      <w:r w:rsidR="00351AE9" w:rsidRPr="00D54C03">
                        <w:rPr>
                          <w:rFonts w:ascii="Arial Narrow" w:hAnsi="Arial Narrow" w:cs="Arial"/>
                          <w:sz w:val="24"/>
                          <w:szCs w:val="24"/>
                        </w:rPr>
                        <w:t>,</w:t>
                      </w:r>
                      <w:r w:rsidRPr="00D54C03">
                        <w:rPr>
                          <w:rFonts w:ascii="Arial Narrow" w:hAnsi="Arial Narrow" w:cs="Arial"/>
                          <w:sz w:val="24"/>
                          <w:szCs w:val="24"/>
                        </w:rPr>
                        <w:t xml:space="preserve"> it was a point of helpful reference and evidence to guide decisions based on human rights compliance as well as Europe-wide standards to aspire to.</w:t>
                      </w:r>
                    </w:p>
                    <w:p w14:paraId="505C253E" w14:textId="77777777" w:rsidR="00095972" w:rsidRDefault="00095972"/>
                  </w:txbxContent>
                </v:textbox>
              </v:shape>
            </w:pict>
          </mc:Fallback>
        </mc:AlternateContent>
      </w:r>
    </w:p>
    <w:p w14:paraId="57A6093C" w14:textId="17BD3298" w:rsidR="00095972" w:rsidRDefault="00095972" w:rsidP="00064D76">
      <w:pPr>
        <w:rPr>
          <w:rFonts w:ascii="Arial Narrow" w:hAnsi="Arial Narrow" w:cs="Arial"/>
          <w:i/>
          <w:iCs/>
          <w:sz w:val="24"/>
          <w:szCs w:val="24"/>
        </w:rPr>
      </w:pPr>
    </w:p>
    <w:p w14:paraId="504AA4FE" w14:textId="5AA891D1" w:rsidR="00095972" w:rsidRDefault="00095972" w:rsidP="00064D76">
      <w:pPr>
        <w:rPr>
          <w:rFonts w:ascii="Arial Narrow" w:hAnsi="Arial Narrow" w:cs="Arial"/>
          <w:i/>
          <w:iCs/>
          <w:sz w:val="24"/>
          <w:szCs w:val="24"/>
        </w:rPr>
      </w:pPr>
    </w:p>
    <w:p w14:paraId="0FEEEE33" w14:textId="5C34C3E3" w:rsidR="00095972" w:rsidRDefault="00095972" w:rsidP="00064D76">
      <w:pPr>
        <w:rPr>
          <w:rFonts w:ascii="Arial Narrow" w:hAnsi="Arial Narrow" w:cs="Arial"/>
          <w:i/>
          <w:iCs/>
          <w:sz w:val="24"/>
          <w:szCs w:val="24"/>
        </w:rPr>
      </w:pPr>
    </w:p>
    <w:p w14:paraId="6F4BBF7E" w14:textId="77777777" w:rsidR="00095972" w:rsidRPr="00883AD4" w:rsidRDefault="00095972" w:rsidP="00064D76">
      <w:pPr>
        <w:rPr>
          <w:rFonts w:ascii="Arial Narrow" w:hAnsi="Arial Narrow" w:cs="Arial"/>
          <w:i/>
          <w:iCs/>
          <w:sz w:val="24"/>
          <w:szCs w:val="24"/>
        </w:rPr>
      </w:pPr>
    </w:p>
    <w:p w14:paraId="1742F52D" w14:textId="77777777" w:rsidR="00095972" w:rsidRDefault="00095972" w:rsidP="00095972">
      <w:pPr>
        <w:pStyle w:val="ListParagraph"/>
        <w:rPr>
          <w:rFonts w:ascii="Arial Narrow" w:hAnsi="Arial Narrow" w:cs="Arial"/>
          <w:b/>
          <w:bCs/>
          <w:sz w:val="24"/>
          <w:szCs w:val="24"/>
        </w:rPr>
      </w:pPr>
    </w:p>
    <w:p w14:paraId="505C26FF" w14:textId="77777777" w:rsidR="00095972" w:rsidRDefault="00095972" w:rsidP="00095972">
      <w:pPr>
        <w:pStyle w:val="ListParagraph"/>
        <w:rPr>
          <w:rFonts w:ascii="Arial Narrow" w:hAnsi="Arial Narrow" w:cs="Arial"/>
          <w:b/>
          <w:bCs/>
          <w:sz w:val="24"/>
          <w:szCs w:val="24"/>
        </w:rPr>
      </w:pPr>
    </w:p>
    <w:p w14:paraId="0A9578FE" w14:textId="010E53E2" w:rsidR="00095972" w:rsidRDefault="00095972" w:rsidP="00095972">
      <w:pPr>
        <w:pStyle w:val="ListParagraph"/>
        <w:rPr>
          <w:rFonts w:ascii="Arial Narrow" w:hAnsi="Arial Narrow" w:cs="Arial"/>
          <w:b/>
          <w:bCs/>
          <w:sz w:val="24"/>
          <w:szCs w:val="24"/>
        </w:rPr>
      </w:pPr>
    </w:p>
    <w:p w14:paraId="38DE2B23" w14:textId="35805B2A" w:rsidR="00095972" w:rsidRDefault="00095972" w:rsidP="00095972">
      <w:pPr>
        <w:pStyle w:val="ListParagraph"/>
        <w:rPr>
          <w:rFonts w:ascii="Arial Narrow" w:hAnsi="Arial Narrow" w:cs="Arial"/>
          <w:b/>
          <w:bCs/>
          <w:sz w:val="24"/>
          <w:szCs w:val="24"/>
        </w:rPr>
      </w:pPr>
    </w:p>
    <w:p w14:paraId="1F70D1A1" w14:textId="1FDD7327" w:rsidR="00351AE9" w:rsidRDefault="00351AE9" w:rsidP="00351AE9">
      <w:pPr>
        <w:pStyle w:val="ListParagraph"/>
        <w:rPr>
          <w:rFonts w:ascii="Arial Narrow" w:hAnsi="Arial Narrow" w:cs="Arial"/>
          <w:b/>
          <w:bCs/>
          <w:sz w:val="24"/>
          <w:szCs w:val="24"/>
        </w:rPr>
      </w:pPr>
    </w:p>
    <w:p w14:paraId="0DF8A012" w14:textId="1412524F" w:rsidR="0097195E" w:rsidRDefault="0097195E" w:rsidP="00351AE9">
      <w:pPr>
        <w:pStyle w:val="ListParagraph"/>
        <w:rPr>
          <w:rFonts w:ascii="Arial Narrow" w:hAnsi="Arial Narrow" w:cs="Arial"/>
          <w:b/>
          <w:bCs/>
          <w:sz w:val="24"/>
          <w:szCs w:val="24"/>
        </w:rPr>
      </w:pPr>
    </w:p>
    <w:p w14:paraId="1EDA1C3B" w14:textId="0156B94E" w:rsidR="0097195E" w:rsidRDefault="0097195E" w:rsidP="00351AE9">
      <w:pPr>
        <w:pStyle w:val="ListParagraph"/>
        <w:rPr>
          <w:rFonts w:ascii="Arial Narrow" w:hAnsi="Arial Narrow" w:cs="Arial"/>
          <w:b/>
          <w:bCs/>
          <w:sz w:val="24"/>
          <w:szCs w:val="24"/>
        </w:rPr>
      </w:pPr>
    </w:p>
    <w:p w14:paraId="25D27469" w14:textId="314B91B5" w:rsidR="0097195E" w:rsidRDefault="0097195E" w:rsidP="00351AE9">
      <w:pPr>
        <w:pStyle w:val="ListParagraph"/>
        <w:rPr>
          <w:rFonts w:ascii="Arial Narrow" w:hAnsi="Arial Narrow" w:cs="Arial"/>
          <w:b/>
          <w:bCs/>
          <w:sz w:val="24"/>
          <w:szCs w:val="24"/>
        </w:rPr>
      </w:pPr>
    </w:p>
    <w:p w14:paraId="4DA2AC1A" w14:textId="1DB4C59E" w:rsidR="0097195E" w:rsidRDefault="007E6528" w:rsidP="00351AE9">
      <w:pPr>
        <w:pStyle w:val="ListParagraph"/>
        <w:rPr>
          <w:rFonts w:ascii="Arial Narrow" w:hAnsi="Arial Narrow" w:cs="Arial"/>
          <w:b/>
          <w:bCs/>
          <w:sz w:val="24"/>
          <w:szCs w:val="24"/>
        </w:rPr>
      </w:pPr>
      <w:r>
        <w:rPr>
          <w:rFonts w:ascii="Arial Narrow" w:hAnsi="Arial Narrow" w:cs="Arial"/>
          <w:b/>
          <w:bCs/>
          <w:noProof/>
          <w:sz w:val="24"/>
          <w:szCs w:val="24"/>
        </w:rPr>
        <w:lastRenderedPageBreak/>
        <mc:AlternateContent>
          <mc:Choice Requires="wps">
            <w:drawing>
              <wp:anchor distT="0" distB="0" distL="114300" distR="114300" simplePos="0" relativeHeight="251655680" behindDoc="0" locked="0" layoutInCell="1" allowOverlap="1" wp14:anchorId="2400B3B6" wp14:editId="69E63E4B">
                <wp:simplePos x="0" y="0"/>
                <wp:positionH relativeFrom="margin">
                  <wp:posOffset>-260350</wp:posOffset>
                </wp:positionH>
                <wp:positionV relativeFrom="paragraph">
                  <wp:posOffset>-613410</wp:posOffset>
                </wp:positionV>
                <wp:extent cx="6337300" cy="32512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6337300" cy="3251200"/>
                        </a:xfrm>
                        <a:prstGeom prst="rect">
                          <a:avLst/>
                        </a:prstGeom>
                        <a:solidFill>
                          <a:schemeClr val="lt1"/>
                        </a:solidFill>
                        <a:ln w="6350">
                          <a:solidFill>
                            <a:prstClr val="black"/>
                          </a:solidFill>
                        </a:ln>
                      </wps:spPr>
                      <wps:txbx>
                        <w:txbxContent>
                          <w:p w14:paraId="648DE118" w14:textId="63939715" w:rsidR="00404A23" w:rsidRPr="006E2526" w:rsidRDefault="00404A23" w:rsidP="00404A23">
                            <w:pPr>
                              <w:spacing w:line="276" w:lineRule="auto"/>
                              <w:rPr>
                                <w:rStyle w:val="size"/>
                                <w:rFonts w:ascii="Arial Narrow" w:eastAsia="Times New Roman" w:hAnsi="Arial Narrow"/>
                                <w:b/>
                                <w:bCs/>
                                <w:sz w:val="24"/>
                                <w:szCs w:val="24"/>
                              </w:rPr>
                            </w:pPr>
                            <w:r w:rsidRPr="006E2526">
                              <w:rPr>
                                <w:rStyle w:val="size"/>
                                <w:rFonts w:ascii="Arial Narrow" w:eastAsia="Times New Roman" w:hAnsi="Arial Narrow"/>
                                <w:b/>
                                <w:bCs/>
                                <w:sz w:val="24"/>
                                <w:szCs w:val="24"/>
                              </w:rPr>
                              <w:t>Example from Howard League</w:t>
                            </w:r>
                            <w:r w:rsidR="006E2526" w:rsidRPr="006E2526">
                              <w:rPr>
                                <w:rStyle w:val="size"/>
                                <w:rFonts w:ascii="Arial Narrow" w:eastAsia="Times New Roman" w:hAnsi="Arial Narrow"/>
                                <w:b/>
                                <w:bCs/>
                                <w:sz w:val="24"/>
                                <w:szCs w:val="24"/>
                              </w:rPr>
                              <w:t xml:space="preserve"> Scotland</w:t>
                            </w:r>
                          </w:p>
                          <w:p w14:paraId="15D23DA2" w14:textId="12C33F25" w:rsidR="0097195E" w:rsidRPr="006E2526" w:rsidRDefault="0097195E" w:rsidP="0097195E">
                            <w:pPr>
                              <w:spacing w:line="276" w:lineRule="auto"/>
                              <w:rPr>
                                <w:rStyle w:val="size"/>
                                <w:rFonts w:ascii="Arial Narrow" w:eastAsia="Times New Roman" w:hAnsi="Arial Narrow"/>
                                <w:sz w:val="24"/>
                                <w:szCs w:val="24"/>
                              </w:rPr>
                            </w:pPr>
                            <w:r w:rsidRPr="006E2526">
                              <w:rPr>
                                <w:rStyle w:val="size"/>
                                <w:rFonts w:ascii="Arial Narrow" w:eastAsia="Times New Roman" w:hAnsi="Arial Narrow"/>
                                <w:sz w:val="24"/>
                                <w:szCs w:val="24"/>
                              </w:rPr>
                              <w:t xml:space="preserve">The HRA has had a significant impact on the advancement of prisoners’ rights, where domestic law would not otherwise have provided adequate remedies.  Even with the benefit of human rights-based protections, however, progress is often limited and slow.  It is, therefore, vital to guard against any indirect dilution of existing rights, which may arise </w:t>
                            </w:r>
                            <w:r w:rsidRPr="006E2526">
                              <w:rPr>
                                <w:rStyle w:val="size"/>
                                <w:rFonts w:ascii="Arial Narrow" w:eastAsia="Times New Roman" w:hAnsi="Arial Narrow"/>
                                <w:sz w:val="24"/>
                                <w:szCs w:val="24"/>
                              </w:rPr>
                              <w:t xml:space="preserve">as a consequence of procedural barriers to enforcement.  This is a particularly anxious concern in the sphere of prisoners’ residual liberty, which is acutely vulnerable to corrosion by the state.  </w:t>
                            </w:r>
                          </w:p>
                          <w:p w14:paraId="3D932474" w14:textId="49065EAE" w:rsidR="0097195E" w:rsidRPr="006E2526" w:rsidRDefault="0097195E" w:rsidP="006E2526">
                            <w:pPr>
                              <w:spacing w:line="276" w:lineRule="auto"/>
                              <w:rPr>
                                <w:rStyle w:val="size"/>
                                <w:rFonts w:ascii="Arial Narrow" w:eastAsia="Times New Roman" w:hAnsi="Arial Narrow"/>
                                <w:sz w:val="24"/>
                                <w:szCs w:val="24"/>
                              </w:rPr>
                            </w:pPr>
                            <w:r w:rsidRPr="006E2526">
                              <w:rPr>
                                <w:rStyle w:val="size"/>
                                <w:rFonts w:ascii="Arial Narrow" w:eastAsia="Times New Roman" w:hAnsi="Arial Narrow"/>
                                <w:sz w:val="24"/>
                                <w:szCs w:val="24"/>
                              </w:rPr>
                              <w:t xml:space="preserve">A notorious example is the persistent failure by the UK to remove a ‘blanket ban’ on prisoner voting, despite repeated rulings by the ECtHR that the policy breached Article 3 of Protocol 1 ECHR (right to free elections).  Following the case of </w:t>
                            </w:r>
                            <w:r w:rsidRPr="006E2526">
                              <w:rPr>
                                <w:rStyle w:val="size"/>
                                <w:rFonts w:ascii="Arial Narrow" w:eastAsia="Times New Roman" w:hAnsi="Arial Narrow"/>
                                <w:i/>
                                <w:iCs/>
                                <w:sz w:val="24"/>
                                <w:szCs w:val="24"/>
                              </w:rPr>
                              <w:t xml:space="preserve">Hirst v United Kingdom </w:t>
                            </w:r>
                            <w:r w:rsidRPr="006E2526">
                              <w:rPr>
                                <w:rStyle w:val="size"/>
                                <w:rFonts w:ascii="Arial Narrow" w:eastAsia="Times New Roman" w:hAnsi="Arial Narrow"/>
                                <w:sz w:val="24"/>
                                <w:szCs w:val="24"/>
                              </w:rPr>
                              <w:t xml:space="preserve">in 2005, it has taken some 15 years to effect positive change.  In 2020, limited enfranchisement, of prisoners serving sentences of 12 months or less, was finally provided in respect of local government elections in Scotland.  Around the same time, England and Wales saw only administrative (rather than legislative) change, and to a lesser degree.  The influence of international human rights has, therefore, been crucial to effect domestic policy change in this area. </w:t>
                            </w:r>
                          </w:p>
                          <w:p w14:paraId="7C865F03" w14:textId="77777777" w:rsidR="0097195E" w:rsidRDefault="00971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B3B6" id="Text Box 4" o:spid="_x0000_s1027" type="#_x0000_t202" style="position:absolute;left:0;text-align:left;margin-left:-20.5pt;margin-top:-48.3pt;width:499pt;height:2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9yTQIAAKkEAAAOAAAAZHJzL2Uyb0RvYy54bWysVE1v2zAMvQ/YfxB0X+x8tZ0Rp8hSZBgQ&#10;tAWSoWdFlmJjsqhJSuzs14+SnTTtdhp2USjy+Yl8JDO7b2tFjsK6CnROh4OUEqE5FJXe5/T7dvXp&#10;jhLnmS6YAi1yehKO3s8/fpg1JhMjKEEVwhIk0S5rTE5L702WJI6XomZuAEZoDEqwNfN4tfuksKxB&#10;9lolozS9SRqwhbHAhXPofeiCdB75pRTcP0nphCcqp5ibj6eN5y6cyXzGsr1lpqx4nwb7hyxqVml8&#10;9EL1wDwjB1v9QVVX3IID6Qcc6gSkrLiINWA1w/RdNZuSGRFrQXGcucjk/h8tfzw+W1IVOZ1QolmN&#10;LdqK1pMv0JJJUKcxLkPQxiDMt+jGLp/9Dp2h6FbaOvxiOQTjqPPpom0g4+i8GY9vxymGOMbGo+kQ&#10;uxd4ktfPjXX+q4CaBCOnFpsXNWXHtfMd9AwJrzlQVbGqlIqXMDBiqSw5Mmy18jFJJH+DUpo0IZVp&#10;GonfxAL15fudYvxHn94VCvmUxpyDKF3xwfLtro0SXoTZQXFCvSx08+YMX1VIv2bOPzOLA4Y64NL4&#10;JzykAswJeouSEuyvv/kDHvuOUUoaHNicup8HZgUl6pvGifg8nEzChMfLZHo7wou9juyuI/pQLwGF&#10;GuJ6Gh7NgPfqbEoL9Qvu1iK8iiGmOb6dU382l75bI9xNLhaLCMKZNsyv9cbwQB0aE2Tdti/Mmr6t&#10;HifiEc6jzbJ33e2w4UsNi4MHWcXWB507VXv5cR/i8PS7Gxbu+h5Rr/8w898AAAD//wMAUEsDBBQA&#10;BgAIAAAAIQAkddKb3wAAAAsBAAAPAAAAZHJzL2Rvd25yZXYueG1sTI/BTsMwEETvSPyDtUjcWico&#10;DUmIUwEqXDi1IM7b2LUtYjuK3TT8PcsJbrs7o9k37XZxA5vVFG3wAvJ1Bkz5PkjrtYCP95dVBSwm&#10;9BKH4JWAbxVh211ftdjIcPF7NR+SZhTiY4MCTEpjw3nsjXIY12FUnrRTmBwmWifN5YQXCncDv8uy&#10;kju0nj4YHNWzUf3X4ewE7J50rfsKJ7OrpLXz8nl6069C3N4sjw/AklrSnxl+8QkdOmI6hrOXkQ0C&#10;VkVOXRINdVkCI0e9uafLUUCRbwrgXcv/d+h+AAAA//8DAFBLAQItABQABgAIAAAAIQC2gziS/gAA&#10;AOEBAAATAAAAAAAAAAAAAAAAAAAAAABbQ29udGVudF9UeXBlc10ueG1sUEsBAi0AFAAGAAgAAAAh&#10;ADj9If/WAAAAlAEAAAsAAAAAAAAAAAAAAAAALwEAAF9yZWxzLy5yZWxzUEsBAi0AFAAGAAgAAAAh&#10;APH2/3JNAgAAqQQAAA4AAAAAAAAAAAAAAAAALgIAAGRycy9lMm9Eb2MueG1sUEsBAi0AFAAGAAgA&#10;AAAhACR10pvfAAAACwEAAA8AAAAAAAAAAAAAAAAApwQAAGRycy9kb3ducmV2LnhtbFBLBQYAAAAA&#10;BAAEAPMAAACzBQAAAAA=&#10;" fillcolor="white [3201]" strokeweight=".5pt">
                <v:textbox>
                  <w:txbxContent>
                    <w:p w14:paraId="648DE118" w14:textId="63939715" w:rsidR="00404A23" w:rsidRPr="006E2526" w:rsidRDefault="00404A23" w:rsidP="00404A23">
                      <w:pPr>
                        <w:spacing w:line="276" w:lineRule="auto"/>
                        <w:rPr>
                          <w:rStyle w:val="size"/>
                          <w:rFonts w:ascii="Arial Narrow" w:eastAsia="Times New Roman" w:hAnsi="Arial Narrow"/>
                          <w:b/>
                          <w:bCs/>
                          <w:sz w:val="24"/>
                          <w:szCs w:val="24"/>
                        </w:rPr>
                      </w:pPr>
                      <w:r w:rsidRPr="006E2526">
                        <w:rPr>
                          <w:rStyle w:val="size"/>
                          <w:rFonts w:ascii="Arial Narrow" w:eastAsia="Times New Roman" w:hAnsi="Arial Narrow"/>
                          <w:b/>
                          <w:bCs/>
                          <w:sz w:val="24"/>
                          <w:szCs w:val="24"/>
                        </w:rPr>
                        <w:t>Example from Howard League</w:t>
                      </w:r>
                      <w:r w:rsidR="006E2526" w:rsidRPr="006E2526">
                        <w:rPr>
                          <w:rStyle w:val="size"/>
                          <w:rFonts w:ascii="Arial Narrow" w:eastAsia="Times New Roman" w:hAnsi="Arial Narrow"/>
                          <w:b/>
                          <w:bCs/>
                          <w:sz w:val="24"/>
                          <w:szCs w:val="24"/>
                        </w:rPr>
                        <w:t xml:space="preserve"> Scotland</w:t>
                      </w:r>
                    </w:p>
                    <w:p w14:paraId="15D23DA2" w14:textId="12C33F25" w:rsidR="0097195E" w:rsidRPr="006E2526" w:rsidRDefault="0097195E" w:rsidP="0097195E">
                      <w:pPr>
                        <w:spacing w:line="276" w:lineRule="auto"/>
                        <w:rPr>
                          <w:rStyle w:val="size"/>
                          <w:rFonts w:ascii="Arial Narrow" w:eastAsia="Times New Roman" w:hAnsi="Arial Narrow"/>
                          <w:sz w:val="24"/>
                          <w:szCs w:val="24"/>
                        </w:rPr>
                      </w:pPr>
                      <w:r w:rsidRPr="006E2526">
                        <w:rPr>
                          <w:rStyle w:val="size"/>
                          <w:rFonts w:ascii="Arial Narrow" w:eastAsia="Times New Roman" w:hAnsi="Arial Narrow"/>
                          <w:sz w:val="24"/>
                          <w:szCs w:val="24"/>
                        </w:rPr>
                        <w:t xml:space="preserve">The HRA has had a significant impact on the advancement of prisoners’ rights, where domestic law would not otherwise have provided adequate remedies.  Even with the benefit of human rights-based protections, however, progress is often limited and slow.  It is, therefore, vital to guard against any indirect dilution of existing rights, which may arise </w:t>
                      </w:r>
                      <w:proofErr w:type="gramStart"/>
                      <w:r w:rsidRPr="006E2526">
                        <w:rPr>
                          <w:rStyle w:val="size"/>
                          <w:rFonts w:ascii="Arial Narrow" w:eastAsia="Times New Roman" w:hAnsi="Arial Narrow"/>
                          <w:sz w:val="24"/>
                          <w:szCs w:val="24"/>
                        </w:rPr>
                        <w:t>as a consequence of</w:t>
                      </w:r>
                      <w:proofErr w:type="gramEnd"/>
                      <w:r w:rsidRPr="006E2526">
                        <w:rPr>
                          <w:rStyle w:val="size"/>
                          <w:rFonts w:ascii="Arial Narrow" w:eastAsia="Times New Roman" w:hAnsi="Arial Narrow"/>
                          <w:sz w:val="24"/>
                          <w:szCs w:val="24"/>
                        </w:rPr>
                        <w:t xml:space="preserve"> procedural barriers to enforcement.  This is a particularly anxious concern in the sphere of prisoners’ residual liberty, which is acutely vulnerable to corrosion by the state.  </w:t>
                      </w:r>
                    </w:p>
                    <w:p w14:paraId="3D932474" w14:textId="49065EAE" w:rsidR="0097195E" w:rsidRPr="006E2526" w:rsidRDefault="0097195E" w:rsidP="006E2526">
                      <w:pPr>
                        <w:spacing w:line="276" w:lineRule="auto"/>
                        <w:rPr>
                          <w:rStyle w:val="size"/>
                          <w:rFonts w:ascii="Arial Narrow" w:eastAsia="Times New Roman" w:hAnsi="Arial Narrow"/>
                          <w:sz w:val="24"/>
                          <w:szCs w:val="24"/>
                        </w:rPr>
                      </w:pPr>
                      <w:r w:rsidRPr="006E2526">
                        <w:rPr>
                          <w:rStyle w:val="size"/>
                          <w:rFonts w:ascii="Arial Narrow" w:eastAsia="Times New Roman" w:hAnsi="Arial Narrow"/>
                          <w:sz w:val="24"/>
                          <w:szCs w:val="24"/>
                        </w:rPr>
                        <w:t xml:space="preserve">A notorious example is the persistent failure by the UK to remove a ‘blanket ban’ on prisoner voting, despite repeated rulings by the ECtHR that the policy breached Article 3 of Protocol 1 ECHR (right to free elections).  Following the case of </w:t>
                      </w:r>
                      <w:r w:rsidRPr="006E2526">
                        <w:rPr>
                          <w:rStyle w:val="size"/>
                          <w:rFonts w:ascii="Arial Narrow" w:eastAsia="Times New Roman" w:hAnsi="Arial Narrow"/>
                          <w:i/>
                          <w:iCs/>
                          <w:sz w:val="24"/>
                          <w:szCs w:val="24"/>
                        </w:rPr>
                        <w:t xml:space="preserve">Hirst v United Kingdom </w:t>
                      </w:r>
                      <w:r w:rsidRPr="006E2526">
                        <w:rPr>
                          <w:rStyle w:val="size"/>
                          <w:rFonts w:ascii="Arial Narrow" w:eastAsia="Times New Roman" w:hAnsi="Arial Narrow"/>
                          <w:sz w:val="24"/>
                          <w:szCs w:val="24"/>
                        </w:rPr>
                        <w:t xml:space="preserve">in 2005, it has taken some 15 years to effect positive change.  In 2020, limited enfranchisement, of prisoners serving sentences of 12 months or less, was finally provided in respect of local government elections in Scotland.  Around the same time, England and Wales saw only administrative (rather than legislative) change, and to a lesser degree.  The influence of international human rights has, therefore, been crucial to effect domestic policy change in this area. </w:t>
                      </w:r>
                    </w:p>
                    <w:p w14:paraId="7C865F03" w14:textId="77777777" w:rsidR="0097195E" w:rsidRDefault="0097195E"/>
                  </w:txbxContent>
                </v:textbox>
                <w10:wrap anchorx="margin"/>
              </v:shape>
            </w:pict>
          </mc:Fallback>
        </mc:AlternateContent>
      </w:r>
    </w:p>
    <w:p w14:paraId="4EFFA866" w14:textId="40EC1EE8" w:rsidR="0097195E" w:rsidRDefault="0097195E" w:rsidP="00351AE9">
      <w:pPr>
        <w:pStyle w:val="ListParagraph"/>
        <w:rPr>
          <w:rFonts w:ascii="Arial Narrow" w:hAnsi="Arial Narrow" w:cs="Arial"/>
          <w:b/>
          <w:bCs/>
          <w:sz w:val="24"/>
          <w:szCs w:val="24"/>
        </w:rPr>
      </w:pPr>
    </w:p>
    <w:p w14:paraId="3D6A798E" w14:textId="38C61D2B" w:rsidR="0097195E" w:rsidRDefault="0097195E" w:rsidP="00351AE9">
      <w:pPr>
        <w:pStyle w:val="ListParagraph"/>
        <w:rPr>
          <w:rFonts w:ascii="Arial Narrow" w:hAnsi="Arial Narrow" w:cs="Arial"/>
          <w:b/>
          <w:bCs/>
          <w:sz w:val="24"/>
          <w:szCs w:val="24"/>
        </w:rPr>
      </w:pPr>
    </w:p>
    <w:p w14:paraId="2359D9A2" w14:textId="48FEDB9E" w:rsidR="0097195E" w:rsidRDefault="0097195E" w:rsidP="00351AE9">
      <w:pPr>
        <w:pStyle w:val="ListParagraph"/>
        <w:rPr>
          <w:rFonts w:ascii="Arial Narrow" w:hAnsi="Arial Narrow" w:cs="Arial"/>
          <w:b/>
          <w:bCs/>
          <w:sz w:val="24"/>
          <w:szCs w:val="24"/>
        </w:rPr>
      </w:pPr>
    </w:p>
    <w:p w14:paraId="743C05FA" w14:textId="3DBE2FE5" w:rsidR="0097195E" w:rsidRDefault="0097195E" w:rsidP="00351AE9">
      <w:pPr>
        <w:pStyle w:val="ListParagraph"/>
        <w:rPr>
          <w:rFonts w:ascii="Arial Narrow" w:hAnsi="Arial Narrow" w:cs="Arial"/>
          <w:b/>
          <w:bCs/>
          <w:sz w:val="24"/>
          <w:szCs w:val="24"/>
        </w:rPr>
      </w:pPr>
    </w:p>
    <w:p w14:paraId="44404992" w14:textId="715336A9" w:rsidR="0097195E" w:rsidRDefault="0097195E" w:rsidP="00351AE9">
      <w:pPr>
        <w:pStyle w:val="ListParagraph"/>
        <w:rPr>
          <w:rFonts w:ascii="Arial Narrow" w:hAnsi="Arial Narrow" w:cs="Arial"/>
          <w:b/>
          <w:bCs/>
          <w:sz w:val="24"/>
          <w:szCs w:val="24"/>
        </w:rPr>
      </w:pPr>
    </w:p>
    <w:p w14:paraId="2064DC52" w14:textId="5864F10E" w:rsidR="0097195E" w:rsidRDefault="0097195E" w:rsidP="00351AE9">
      <w:pPr>
        <w:pStyle w:val="ListParagraph"/>
        <w:rPr>
          <w:rFonts w:ascii="Arial Narrow" w:hAnsi="Arial Narrow" w:cs="Arial"/>
          <w:b/>
          <w:bCs/>
          <w:sz w:val="24"/>
          <w:szCs w:val="24"/>
        </w:rPr>
      </w:pPr>
    </w:p>
    <w:p w14:paraId="338099ED" w14:textId="679DEBE4" w:rsidR="0097195E" w:rsidRDefault="0097195E" w:rsidP="00351AE9">
      <w:pPr>
        <w:pStyle w:val="ListParagraph"/>
        <w:rPr>
          <w:rFonts w:ascii="Arial Narrow" w:hAnsi="Arial Narrow" w:cs="Arial"/>
          <w:b/>
          <w:bCs/>
          <w:sz w:val="24"/>
          <w:szCs w:val="24"/>
        </w:rPr>
      </w:pPr>
    </w:p>
    <w:p w14:paraId="306F7F04" w14:textId="40689997" w:rsidR="0097195E" w:rsidRDefault="0097195E" w:rsidP="00351AE9">
      <w:pPr>
        <w:pStyle w:val="ListParagraph"/>
        <w:rPr>
          <w:rFonts w:ascii="Arial Narrow" w:hAnsi="Arial Narrow" w:cs="Arial"/>
          <w:b/>
          <w:bCs/>
          <w:sz w:val="24"/>
          <w:szCs w:val="24"/>
        </w:rPr>
      </w:pPr>
    </w:p>
    <w:p w14:paraId="07D9073B" w14:textId="2BF71FF4" w:rsidR="0097195E" w:rsidRDefault="0097195E" w:rsidP="00351AE9">
      <w:pPr>
        <w:pStyle w:val="ListParagraph"/>
        <w:rPr>
          <w:rFonts w:ascii="Arial Narrow" w:hAnsi="Arial Narrow" w:cs="Arial"/>
          <w:b/>
          <w:bCs/>
          <w:sz w:val="24"/>
          <w:szCs w:val="24"/>
        </w:rPr>
      </w:pPr>
    </w:p>
    <w:p w14:paraId="42918BFD" w14:textId="77777777" w:rsidR="0097195E" w:rsidRDefault="0097195E" w:rsidP="00351AE9">
      <w:pPr>
        <w:pStyle w:val="ListParagraph"/>
        <w:rPr>
          <w:rFonts w:ascii="Arial Narrow" w:hAnsi="Arial Narrow" w:cs="Arial"/>
          <w:b/>
          <w:bCs/>
          <w:sz w:val="24"/>
          <w:szCs w:val="24"/>
        </w:rPr>
      </w:pPr>
    </w:p>
    <w:p w14:paraId="4BAC74D0" w14:textId="28ED5E0F" w:rsidR="0097195E" w:rsidRDefault="0097195E" w:rsidP="0097195E">
      <w:pPr>
        <w:rPr>
          <w:rFonts w:ascii="Arial Narrow" w:hAnsi="Arial Narrow" w:cs="Arial"/>
          <w:b/>
          <w:bCs/>
          <w:sz w:val="24"/>
          <w:szCs w:val="24"/>
        </w:rPr>
      </w:pPr>
    </w:p>
    <w:p w14:paraId="353E22F7" w14:textId="5E8FF669" w:rsidR="0097195E" w:rsidRDefault="00D54C03" w:rsidP="00D54C03">
      <w:pPr>
        <w:tabs>
          <w:tab w:val="left" w:pos="6010"/>
        </w:tabs>
        <w:rPr>
          <w:rFonts w:ascii="Arial Narrow" w:hAnsi="Arial Narrow" w:cs="Arial"/>
          <w:b/>
          <w:bCs/>
          <w:sz w:val="24"/>
          <w:szCs w:val="24"/>
        </w:rPr>
      </w:pPr>
      <w:r>
        <w:rPr>
          <w:rFonts w:ascii="Arial Narrow" w:hAnsi="Arial Narrow" w:cs="Arial"/>
          <w:b/>
          <w:bCs/>
          <w:sz w:val="24"/>
          <w:szCs w:val="24"/>
        </w:rPr>
        <w:tab/>
      </w:r>
    </w:p>
    <w:p w14:paraId="49F1B0F4" w14:textId="77777777" w:rsidR="0097195E" w:rsidRPr="00D54C03" w:rsidRDefault="0097195E" w:rsidP="00D54C03">
      <w:pPr>
        <w:rPr>
          <w:rFonts w:ascii="Arial Narrow" w:hAnsi="Arial Narrow" w:cs="Arial"/>
          <w:b/>
          <w:bCs/>
          <w:sz w:val="24"/>
          <w:szCs w:val="24"/>
        </w:rPr>
      </w:pPr>
    </w:p>
    <w:p w14:paraId="6BA0E496" w14:textId="320A231C" w:rsidR="003F47C7" w:rsidRPr="00883AD4" w:rsidRDefault="005316B5" w:rsidP="003F47C7">
      <w:pPr>
        <w:pStyle w:val="ListParagraph"/>
        <w:numPr>
          <w:ilvl w:val="0"/>
          <w:numId w:val="6"/>
        </w:numPr>
        <w:rPr>
          <w:rFonts w:ascii="Arial Narrow" w:hAnsi="Arial Narrow" w:cs="Arial"/>
          <w:b/>
          <w:bCs/>
          <w:sz w:val="24"/>
          <w:szCs w:val="24"/>
        </w:rPr>
      </w:pPr>
      <w:r w:rsidRPr="00883AD4">
        <w:rPr>
          <w:rFonts w:ascii="Arial Narrow" w:hAnsi="Arial Narrow" w:cs="Arial"/>
          <w:b/>
          <w:bCs/>
          <w:sz w:val="24"/>
          <w:szCs w:val="24"/>
        </w:rPr>
        <w:t>Positive b</w:t>
      </w:r>
      <w:r w:rsidR="003F47C7" w:rsidRPr="00883AD4">
        <w:rPr>
          <w:rFonts w:ascii="Arial Narrow" w:hAnsi="Arial Narrow" w:cs="Arial"/>
          <w:b/>
          <w:bCs/>
          <w:sz w:val="24"/>
          <w:szCs w:val="24"/>
        </w:rPr>
        <w:t>enefits of mutual understanding of human rights across Europe</w:t>
      </w:r>
    </w:p>
    <w:p w14:paraId="78F06B61" w14:textId="43DDBEC8" w:rsidR="003F47C7" w:rsidRPr="00883AD4" w:rsidRDefault="003F47C7" w:rsidP="003F47C7">
      <w:pPr>
        <w:rPr>
          <w:rFonts w:ascii="Arial Narrow" w:hAnsi="Arial Narrow" w:cs="Arial"/>
          <w:sz w:val="24"/>
          <w:szCs w:val="24"/>
        </w:rPr>
      </w:pPr>
      <w:r w:rsidRPr="00883AD4">
        <w:rPr>
          <w:rFonts w:ascii="Arial Narrow" w:hAnsi="Arial Narrow" w:cs="Arial"/>
          <w:sz w:val="24"/>
          <w:szCs w:val="24"/>
        </w:rPr>
        <w:t xml:space="preserve">The requirement on courts to </w:t>
      </w:r>
      <w:proofErr w:type="gramStart"/>
      <w:r w:rsidRPr="00883AD4">
        <w:rPr>
          <w:rFonts w:ascii="Arial Narrow" w:hAnsi="Arial Narrow" w:cs="Arial"/>
          <w:sz w:val="24"/>
          <w:szCs w:val="24"/>
        </w:rPr>
        <w:t>take into account</w:t>
      </w:r>
      <w:proofErr w:type="gramEnd"/>
      <w:r w:rsidRPr="00883AD4">
        <w:rPr>
          <w:rFonts w:ascii="Arial Narrow" w:hAnsi="Arial Narrow" w:cs="Arial"/>
          <w:sz w:val="24"/>
          <w:szCs w:val="24"/>
        </w:rPr>
        <w:t xml:space="preserve"> case law from the ECtHR has helped to provide greater legal certainty which has enabled greater clarity in how ECHR rights apply to individual circumstances and to the services that we deliver. </w:t>
      </w:r>
      <w:proofErr w:type="gramStart"/>
      <w:r w:rsidRPr="00883AD4">
        <w:rPr>
          <w:rFonts w:ascii="Arial Narrow" w:hAnsi="Arial Narrow" w:cs="Arial"/>
          <w:sz w:val="24"/>
          <w:szCs w:val="24"/>
        </w:rPr>
        <w:t>In particular, this</w:t>
      </w:r>
      <w:proofErr w:type="gramEnd"/>
      <w:r w:rsidRPr="00883AD4">
        <w:rPr>
          <w:rFonts w:ascii="Arial Narrow" w:hAnsi="Arial Narrow" w:cs="Arial"/>
          <w:sz w:val="24"/>
          <w:szCs w:val="24"/>
        </w:rPr>
        <w:t xml:space="preserve"> means that we are able to work with, and learn from the expertise and resources, of similar organisations and networks across Europe. We share mutual understanding of ECHR rights and what they mean in practice, including in evolving circumstances, because of our common relationship to the ECtHR and its case law.  At a time when we have never been more aware of our shared regional and global challenges such as COVID-19 and climate change, it would be anachronistic to cut ourselves off from being </w:t>
      </w:r>
      <w:r w:rsidR="00C579F8">
        <w:rPr>
          <w:rFonts w:ascii="Arial Narrow" w:hAnsi="Arial Narrow" w:cs="Arial"/>
          <w:sz w:val="24"/>
          <w:szCs w:val="24"/>
        </w:rPr>
        <w:t xml:space="preserve">fully </w:t>
      </w:r>
      <w:r w:rsidRPr="00883AD4">
        <w:rPr>
          <w:rFonts w:ascii="Arial Narrow" w:hAnsi="Arial Narrow" w:cs="Arial"/>
          <w:sz w:val="24"/>
          <w:szCs w:val="24"/>
        </w:rPr>
        <w:t xml:space="preserve">part of the European human rights framework. </w:t>
      </w:r>
    </w:p>
    <w:p w14:paraId="643801B8" w14:textId="72A56759" w:rsidR="00DD516E" w:rsidRPr="00883AD4" w:rsidRDefault="00883AD4" w:rsidP="00DD516E">
      <w:pPr>
        <w:pStyle w:val="ListParagraph"/>
        <w:numPr>
          <w:ilvl w:val="0"/>
          <w:numId w:val="6"/>
        </w:numPr>
        <w:rPr>
          <w:rFonts w:ascii="Arial Narrow" w:hAnsi="Arial Narrow" w:cs="Arial"/>
          <w:b/>
          <w:bCs/>
          <w:sz w:val="24"/>
          <w:szCs w:val="24"/>
        </w:rPr>
      </w:pPr>
      <w:r w:rsidRPr="00883AD4">
        <w:rPr>
          <w:rFonts w:ascii="Arial Narrow" w:hAnsi="Arial Narrow" w:cs="Arial"/>
          <w:b/>
          <w:bCs/>
          <w:sz w:val="24"/>
          <w:szCs w:val="24"/>
        </w:rPr>
        <w:t xml:space="preserve">ECtHR case law has progressed human rights in </w:t>
      </w:r>
      <w:proofErr w:type="gramStart"/>
      <w:r w:rsidRPr="00883AD4">
        <w:rPr>
          <w:rFonts w:ascii="Arial Narrow" w:hAnsi="Arial Narrow" w:cs="Arial"/>
          <w:b/>
          <w:bCs/>
          <w:sz w:val="24"/>
          <w:szCs w:val="24"/>
        </w:rPr>
        <w:t>Scotland</w:t>
      </w:r>
      <w:proofErr w:type="gramEnd"/>
    </w:p>
    <w:p w14:paraId="6E6D007B" w14:textId="63EBC0B5" w:rsidR="005316B5" w:rsidRPr="00883AD4" w:rsidRDefault="005316B5">
      <w:pPr>
        <w:rPr>
          <w:rFonts w:ascii="Arial Narrow" w:hAnsi="Arial Narrow" w:cs="Arial"/>
          <w:sz w:val="24"/>
          <w:szCs w:val="24"/>
        </w:rPr>
      </w:pPr>
      <w:r w:rsidRPr="00883AD4">
        <w:rPr>
          <w:rFonts w:ascii="Arial Narrow" w:hAnsi="Arial Narrow" w:cs="Arial"/>
          <w:sz w:val="24"/>
          <w:szCs w:val="24"/>
        </w:rPr>
        <w:t xml:space="preserve">The ECtHR has been a very positive force for good on the progression of human rights in Scotland. The Section 2 requirement on courts means that we can draw on this significant body of case law and benefit from best practice drawn from across Europe to ensure that we continue to protect and advance human rights to the greatest extent. We are concerned that any UK distancing from ECtHR jurisprudence could risk unhelpful divergence and reduction in rights standards for people in the UK. We risk being left behind in the evolution and progression of human rights understandings, because we would fail to gain as much from this considerable body of case law. In a post-COVID context where we are all very aware of the importance of human rights protections </w:t>
      </w:r>
      <w:r w:rsidR="00250B23">
        <w:rPr>
          <w:rFonts w:ascii="Arial Narrow" w:hAnsi="Arial Narrow" w:cs="Arial"/>
          <w:sz w:val="24"/>
          <w:szCs w:val="24"/>
        </w:rPr>
        <w:t xml:space="preserve">such as </w:t>
      </w:r>
      <w:r w:rsidRPr="00883AD4">
        <w:rPr>
          <w:rFonts w:ascii="Arial Narrow" w:hAnsi="Arial Narrow" w:cs="Arial"/>
          <w:sz w:val="24"/>
          <w:szCs w:val="24"/>
        </w:rPr>
        <w:t>for our right to life, to health</w:t>
      </w:r>
      <w:r w:rsidR="00250B23">
        <w:rPr>
          <w:rFonts w:ascii="Arial Narrow" w:hAnsi="Arial Narrow" w:cs="Arial"/>
          <w:sz w:val="24"/>
          <w:szCs w:val="24"/>
        </w:rPr>
        <w:t>, or</w:t>
      </w:r>
      <w:r w:rsidRPr="00883AD4">
        <w:rPr>
          <w:rFonts w:ascii="Arial Narrow" w:hAnsi="Arial Narrow" w:cs="Arial"/>
          <w:sz w:val="24"/>
          <w:szCs w:val="24"/>
        </w:rPr>
        <w:t xml:space="preserve"> to family life, no steps should be taken that might curtail our </w:t>
      </w:r>
      <w:r w:rsidR="00250B23">
        <w:rPr>
          <w:rFonts w:ascii="Arial Narrow" w:hAnsi="Arial Narrow" w:cs="Arial"/>
          <w:sz w:val="24"/>
          <w:szCs w:val="24"/>
        </w:rPr>
        <w:t>advancements</w:t>
      </w:r>
      <w:r w:rsidRPr="00883AD4">
        <w:rPr>
          <w:rFonts w:ascii="Arial Narrow" w:hAnsi="Arial Narrow" w:cs="Arial"/>
          <w:sz w:val="24"/>
          <w:szCs w:val="24"/>
        </w:rPr>
        <w:t xml:space="preserve"> to make human rights a reality for all.  As well as </w:t>
      </w:r>
      <w:r w:rsidR="00C579F8">
        <w:rPr>
          <w:rFonts w:ascii="Arial Narrow" w:hAnsi="Arial Narrow" w:cs="Arial"/>
          <w:sz w:val="24"/>
          <w:szCs w:val="24"/>
        </w:rPr>
        <w:t xml:space="preserve">there being </w:t>
      </w:r>
      <w:r w:rsidRPr="00883AD4">
        <w:rPr>
          <w:rFonts w:ascii="Arial Narrow" w:hAnsi="Arial Narrow" w:cs="Arial"/>
          <w:sz w:val="24"/>
          <w:szCs w:val="24"/>
        </w:rPr>
        <w:t>no good reason to distance our courts f</w:t>
      </w:r>
      <w:r w:rsidR="00C579F8">
        <w:rPr>
          <w:rFonts w:ascii="Arial Narrow" w:hAnsi="Arial Narrow" w:cs="Arial"/>
          <w:sz w:val="24"/>
          <w:szCs w:val="24"/>
        </w:rPr>
        <w:t>ro</w:t>
      </w:r>
      <w:r w:rsidRPr="00883AD4">
        <w:rPr>
          <w:rFonts w:ascii="Arial Narrow" w:hAnsi="Arial Narrow" w:cs="Arial"/>
          <w:sz w:val="24"/>
          <w:szCs w:val="24"/>
        </w:rPr>
        <w:t>m the ECtHR, there are many good reasons to remain fully engaged with it.</w:t>
      </w:r>
    </w:p>
    <w:p w14:paraId="3F4A8FF9" w14:textId="664CDD55" w:rsidR="003B53FE" w:rsidRDefault="003B53FE" w:rsidP="00250B23">
      <w:pPr>
        <w:rPr>
          <w:rFonts w:ascii="Arial Narrow" w:hAnsi="Arial Narrow"/>
          <w:sz w:val="24"/>
          <w:szCs w:val="24"/>
        </w:rPr>
      </w:pPr>
    </w:p>
    <w:p w14:paraId="471232BE" w14:textId="325A70A8" w:rsidR="005D56E5" w:rsidRDefault="005D56E5" w:rsidP="00250B23">
      <w:pPr>
        <w:rPr>
          <w:rFonts w:ascii="Arial Narrow" w:hAnsi="Arial Narrow"/>
          <w:sz w:val="24"/>
          <w:szCs w:val="24"/>
        </w:rPr>
      </w:pPr>
      <w:r w:rsidRPr="003B53FE">
        <w:rPr>
          <w:rFonts w:ascii="Arial Narrow" w:hAnsi="Arial Narrow"/>
          <w:noProof/>
          <w:sz w:val="24"/>
          <w:szCs w:val="24"/>
        </w:rPr>
        <w:lastRenderedPageBreak/>
        <mc:AlternateContent>
          <mc:Choice Requires="wps">
            <w:drawing>
              <wp:anchor distT="45720" distB="45720" distL="114300" distR="114300" simplePos="0" relativeHeight="251660294" behindDoc="0" locked="0" layoutInCell="1" allowOverlap="1" wp14:anchorId="03DB32AB" wp14:editId="6006D9EE">
                <wp:simplePos x="0" y="0"/>
                <wp:positionH relativeFrom="margin">
                  <wp:posOffset>-558800</wp:posOffset>
                </wp:positionH>
                <wp:positionV relativeFrom="paragraph">
                  <wp:posOffset>0</wp:posOffset>
                </wp:positionV>
                <wp:extent cx="6483350" cy="24828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482850"/>
                        </a:xfrm>
                        <a:prstGeom prst="rect">
                          <a:avLst/>
                        </a:prstGeom>
                        <a:solidFill>
                          <a:srgbClr val="FFFFFF"/>
                        </a:solidFill>
                        <a:ln w="9525">
                          <a:solidFill>
                            <a:srgbClr val="000000"/>
                          </a:solidFill>
                          <a:miter lim="800000"/>
                          <a:headEnd/>
                          <a:tailEnd/>
                        </a:ln>
                      </wps:spPr>
                      <wps:txbx>
                        <w:txbxContent>
                          <w:p w14:paraId="1C5546CE" w14:textId="77777777" w:rsidR="005D56E5" w:rsidRPr="00B33B7D" w:rsidRDefault="005D56E5" w:rsidP="005D56E5">
                            <w:pPr>
                              <w:rPr>
                                <w:rFonts w:ascii="Arial Narrow" w:hAnsi="Arial Narrow"/>
                                <w:b/>
                                <w:bCs/>
                                <w:sz w:val="24"/>
                                <w:szCs w:val="24"/>
                              </w:rPr>
                            </w:pPr>
                            <w:r>
                              <w:rPr>
                                <w:rFonts w:ascii="Arial Narrow" w:hAnsi="Arial Narrow"/>
                                <w:b/>
                                <w:bCs/>
                                <w:sz w:val="24"/>
                                <w:szCs w:val="24"/>
                              </w:rPr>
                              <w:t>E</w:t>
                            </w:r>
                            <w:r w:rsidRPr="00B33B7D">
                              <w:rPr>
                                <w:rFonts w:ascii="Arial Narrow" w:hAnsi="Arial Narrow"/>
                                <w:b/>
                                <w:bCs/>
                                <w:sz w:val="24"/>
                                <w:szCs w:val="24"/>
                              </w:rPr>
                              <w:t>xample from Equality Network and Scottish Trans</w:t>
                            </w:r>
                            <w:r>
                              <w:rPr>
                                <w:rFonts w:ascii="Arial Narrow" w:hAnsi="Arial Narrow"/>
                                <w:b/>
                                <w:bCs/>
                                <w:sz w:val="24"/>
                                <w:szCs w:val="24"/>
                              </w:rPr>
                              <w:t xml:space="preserve"> Alliance</w:t>
                            </w:r>
                          </w:p>
                          <w:p w14:paraId="0E8A1119" w14:textId="77777777" w:rsidR="005D56E5" w:rsidRPr="00866C8B" w:rsidRDefault="005D56E5" w:rsidP="005D56E5">
                            <w:pPr>
                              <w:rPr>
                                <w:rFonts w:ascii="Arial Narrow" w:hAnsi="Arial Narrow"/>
                                <w:sz w:val="24"/>
                                <w:szCs w:val="24"/>
                              </w:rPr>
                            </w:pPr>
                            <w:r w:rsidRPr="00866C8B">
                              <w:rPr>
                                <w:rFonts w:ascii="Arial Narrow" w:hAnsi="Arial Narrow"/>
                                <w:sz w:val="24"/>
                                <w:szCs w:val="24"/>
                              </w:rPr>
                              <w:t xml:space="preserve">Equality Network and the Scottish Trans Alliance believes the HRA and its requirement to take case law from ECtHR into account is extremely important to ensuring Scotland, and the rest of the UK, keeps step with the rest of the world with regards to human rights for LGBTI people. </w:t>
                            </w:r>
                          </w:p>
                          <w:p w14:paraId="61BEB1C3" w14:textId="77777777" w:rsidR="005D56E5" w:rsidRPr="00D1582B" w:rsidRDefault="005D56E5" w:rsidP="005D56E5">
                            <w:pPr>
                              <w:rPr>
                                <w:rFonts w:ascii="Arial Narrow" w:hAnsi="Arial Narrow"/>
                                <w:sz w:val="24"/>
                                <w:szCs w:val="24"/>
                              </w:rPr>
                            </w:pPr>
                            <w:r w:rsidRPr="00D1582B">
                              <w:rPr>
                                <w:rFonts w:ascii="Arial Narrow" w:hAnsi="Arial Narrow"/>
                                <w:sz w:val="24"/>
                                <w:szCs w:val="24"/>
                              </w:rPr>
                              <w:t xml:space="preserve">In 2002 the case of Christine Goodwin v UK was decided by the ECtHR, the application having been made in 1995. Christine Goodwin, a trans woman, claimed she had faced sexual harassment at work following her gender reassignment. She also stated that the fact that her NI number remained the same meant her employer was able to see her previous name and gender, outing her as trans without her permission. The ECtHR found this to be a violation of the ECHR both with regards to right to a private life as well as with regards to the right marry and start a family. As a result of this case and the related case of I v UK, the Gender Recognition Act 2004 was introduced in the UK. </w:t>
                            </w:r>
                          </w:p>
                          <w:p w14:paraId="6BB68331" w14:textId="77777777" w:rsidR="005D56E5" w:rsidRDefault="005D56E5" w:rsidP="005D5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32AB" id="_x0000_s1028" type="#_x0000_t202" style="position:absolute;margin-left:-44pt;margin-top:0;width:510.5pt;height:195.5pt;z-index:2516602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SJwIAAE4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NVyfPJFWcW&#10;DDXpUfaBvcWe5ZGfrvUFuT205Bh6uqY+p1p9e4/im2cWVw3Yrbx1DrtGQkX5TeLL7OzpgOMjyKb7&#10;iBWFgV3ABNTXzkTyiA5G6NSnw6k3MRVBl5fT+cXFjEyCbPl0ns9JiTGgeH7eOh/eSzQsCiV31PwE&#10;D/t7HwbXZ5cYzaNW1VppnRS33ay0Y3ugQVmn74j+k5u2rCv59SyfDQz8FWKcvj9BGBVo4rUyJZ+f&#10;nKCIvL2zFaUJRQClB5mq0/ZIZORuYDH0m37oWQwQSd5gdSBmHQ4DTgtJQoPuB2cdDXfJ/fcdOMmZ&#10;/mCpO9eT6TRuQ1Kms6ucFHdu2ZxbwAqCKnngbBBXIW1QTNXiLXWxVonfl0yOKdPQpg4dFyxuxbme&#10;vF5+A8snAAAA//8DAFBLAwQUAAYACAAAACEA8kT2rN8AAAAIAQAADwAAAGRycy9kb3ducmV2Lnht&#10;bEyPQU/DMAyF70j8h8hIXNCWjqLRlroTQgLBDQaCa9ZkbUXilCTryr/HnOBi2XpPz9+rN7OzYjIh&#10;Dp4QVssMhKHW64E6hLfX+0UBIiZFWllPBuHbRNg0pye1qrQ/0ouZtqkTHEKxUgh9SmMlZWx741Rc&#10;+tEQa3sfnEp8hk7qoI4c7qy8zLK1dGog/tCr0dz1pv3cHhxCcfU4fcSn/Pm9Xe9tmS6up4evgHh+&#10;Nt/egEhmTn9m+MVndGiYaecPpKOwCIui4C4JgSfLZZ7zskPIy1UGsqnl/wLNDwAAAP//AwBQSwEC&#10;LQAUAAYACAAAACEAtoM4kv4AAADhAQAAEwAAAAAAAAAAAAAAAAAAAAAAW0NvbnRlbnRfVHlwZXNd&#10;LnhtbFBLAQItABQABgAIAAAAIQA4/SH/1gAAAJQBAAALAAAAAAAAAAAAAAAAAC8BAABfcmVscy8u&#10;cmVsc1BLAQItABQABgAIAAAAIQDoGg/SJwIAAE4EAAAOAAAAAAAAAAAAAAAAAC4CAABkcnMvZTJv&#10;RG9jLnhtbFBLAQItABQABgAIAAAAIQDyRPas3wAAAAgBAAAPAAAAAAAAAAAAAAAAAIEEAABkcnMv&#10;ZG93bnJldi54bWxQSwUGAAAAAAQABADzAAAAjQUAAAAA&#10;">
                <v:textbox>
                  <w:txbxContent>
                    <w:p w14:paraId="1C5546CE" w14:textId="77777777" w:rsidR="005D56E5" w:rsidRPr="00B33B7D" w:rsidRDefault="005D56E5" w:rsidP="005D56E5">
                      <w:pPr>
                        <w:rPr>
                          <w:rFonts w:ascii="Arial Narrow" w:hAnsi="Arial Narrow"/>
                          <w:b/>
                          <w:bCs/>
                          <w:sz w:val="24"/>
                          <w:szCs w:val="24"/>
                        </w:rPr>
                      </w:pPr>
                      <w:r>
                        <w:rPr>
                          <w:rFonts w:ascii="Arial Narrow" w:hAnsi="Arial Narrow"/>
                          <w:b/>
                          <w:bCs/>
                          <w:sz w:val="24"/>
                          <w:szCs w:val="24"/>
                        </w:rPr>
                        <w:t>E</w:t>
                      </w:r>
                      <w:r w:rsidRPr="00B33B7D">
                        <w:rPr>
                          <w:rFonts w:ascii="Arial Narrow" w:hAnsi="Arial Narrow"/>
                          <w:b/>
                          <w:bCs/>
                          <w:sz w:val="24"/>
                          <w:szCs w:val="24"/>
                        </w:rPr>
                        <w:t>xample from Equality Network and Scottish Trans</w:t>
                      </w:r>
                      <w:r>
                        <w:rPr>
                          <w:rFonts w:ascii="Arial Narrow" w:hAnsi="Arial Narrow"/>
                          <w:b/>
                          <w:bCs/>
                          <w:sz w:val="24"/>
                          <w:szCs w:val="24"/>
                        </w:rPr>
                        <w:t xml:space="preserve"> Alliance</w:t>
                      </w:r>
                    </w:p>
                    <w:p w14:paraId="0E8A1119" w14:textId="77777777" w:rsidR="005D56E5" w:rsidRPr="00866C8B" w:rsidRDefault="005D56E5" w:rsidP="005D56E5">
                      <w:pPr>
                        <w:rPr>
                          <w:rFonts w:ascii="Arial Narrow" w:hAnsi="Arial Narrow"/>
                          <w:sz w:val="24"/>
                          <w:szCs w:val="24"/>
                        </w:rPr>
                      </w:pPr>
                      <w:r w:rsidRPr="00866C8B">
                        <w:rPr>
                          <w:rFonts w:ascii="Arial Narrow" w:hAnsi="Arial Narrow"/>
                          <w:sz w:val="24"/>
                          <w:szCs w:val="24"/>
                        </w:rPr>
                        <w:t xml:space="preserve">Equality Network and the Scottish Trans Alliance believes the HRA and its requirement to take case law from ECtHR into account is extremely important to ensuring Scotland, and the rest of the UK, keeps step with the rest of the world with regards to human rights for LGBTI people. </w:t>
                      </w:r>
                    </w:p>
                    <w:p w14:paraId="61BEB1C3" w14:textId="77777777" w:rsidR="005D56E5" w:rsidRPr="00D1582B" w:rsidRDefault="005D56E5" w:rsidP="005D56E5">
                      <w:pPr>
                        <w:rPr>
                          <w:rFonts w:ascii="Arial Narrow" w:hAnsi="Arial Narrow"/>
                          <w:sz w:val="24"/>
                          <w:szCs w:val="24"/>
                        </w:rPr>
                      </w:pPr>
                      <w:r w:rsidRPr="00D1582B">
                        <w:rPr>
                          <w:rFonts w:ascii="Arial Narrow" w:hAnsi="Arial Narrow"/>
                          <w:sz w:val="24"/>
                          <w:szCs w:val="24"/>
                        </w:rPr>
                        <w:t xml:space="preserve">In 2002 the case of Christine Goodwin v UK was decided by the ECtHR, the application having been made in 1995. Christine Goodwin, a trans woman, claimed she had faced sexual harassment at work following her gender reassignment. She also stated that the fact that her NI number remained the same meant her employer was able to see her previous name and gender, outing her as trans without her permission. The ECtHR found this to be a violation of the ECHR both with regards to right to a private life as well as with regards to the right marry and start a family. As a result of this case and the related case of I v UK, the Gender Recognition Act 2004 was introduced in the UK. </w:t>
                      </w:r>
                    </w:p>
                    <w:p w14:paraId="6BB68331" w14:textId="77777777" w:rsidR="005D56E5" w:rsidRDefault="005D56E5" w:rsidP="005D56E5"/>
                  </w:txbxContent>
                </v:textbox>
                <w10:wrap type="square" anchorx="margin"/>
              </v:shape>
            </w:pict>
          </mc:Fallback>
        </mc:AlternateContent>
      </w:r>
    </w:p>
    <w:p w14:paraId="3A1DA50A" w14:textId="20A30410" w:rsidR="00250B23" w:rsidRDefault="00250B23" w:rsidP="00250B23">
      <w:pPr>
        <w:rPr>
          <w:rFonts w:ascii="Arial Narrow" w:hAnsi="Arial Narrow"/>
          <w:b/>
          <w:bCs/>
          <w:sz w:val="24"/>
          <w:szCs w:val="24"/>
        </w:rPr>
      </w:pPr>
      <w:r w:rsidRPr="00250B23">
        <w:rPr>
          <w:rFonts w:ascii="Arial Narrow" w:hAnsi="Arial Narrow"/>
          <w:sz w:val="24"/>
          <w:szCs w:val="24"/>
        </w:rPr>
        <w:t xml:space="preserve">For </w:t>
      </w:r>
      <w:proofErr w:type="gramStart"/>
      <w:r w:rsidRPr="00250B23">
        <w:rPr>
          <w:rFonts w:ascii="Arial Narrow" w:hAnsi="Arial Narrow"/>
          <w:sz w:val="24"/>
          <w:szCs w:val="24"/>
        </w:rPr>
        <w:t>all of</w:t>
      </w:r>
      <w:proofErr w:type="gramEnd"/>
      <w:r w:rsidRPr="00250B23">
        <w:rPr>
          <w:rFonts w:ascii="Arial Narrow" w:hAnsi="Arial Narrow"/>
          <w:sz w:val="24"/>
          <w:szCs w:val="24"/>
        </w:rPr>
        <w:t xml:space="preserve"> the reasons above,</w:t>
      </w:r>
      <w:r w:rsidRPr="00250B23">
        <w:rPr>
          <w:rFonts w:ascii="Arial Narrow" w:hAnsi="Arial Narrow"/>
          <w:b/>
          <w:bCs/>
          <w:sz w:val="24"/>
          <w:szCs w:val="24"/>
        </w:rPr>
        <w:t xml:space="preserve"> </w:t>
      </w:r>
      <w:r w:rsidR="007526BD">
        <w:rPr>
          <w:rFonts w:ascii="Arial Narrow" w:hAnsi="Arial Narrow"/>
          <w:b/>
          <w:bCs/>
          <w:sz w:val="24"/>
          <w:szCs w:val="24"/>
        </w:rPr>
        <w:t xml:space="preserve">there should be </w:t>
      </w:r>
      <w:r w:rsidRPr="00250B23">
        <w:rPr>
          <w:rFonts w:ascii="Arial Narrow" w:hAnsi="Arial Narrow"/>
          <w:b/>
          <w:bCs/>
          <w:sz w:val="24"/>
          <w:szCs w:val="24"/>
        </w:rPr>
        <w:t xml:space="preserve">no change to Section 2 of the HRA.  </w:t>
      </w:r>
    </w:p>
    <w:p w14:paraId="51DE9AA1" w14:textId="66D65EB8" w:rsidR="00C57900" w:rsidRPr="00250B23" w:rsidRDefault="00250B23" w:rsidP="00250B23">
      <w:pPr>
        <w:rPr>
          <w:rFonts w:ascii="Arial Narrow" w:hAnsi="Arial Narrow"/>
          <w:sz w:val="24"/>
          <w:szCs w:val="24"/>
        </w:rPr>
      </w:pPr>
      <w:r w:rsidRPr="00D24E61">
        <w:rPr>
          <w:rFonts w:ascii="Arial Narrow" w:hAnsi="Arial Narrow"/>
          <w:sz w:val="24"/>
          <w:szCs w:val="24"/>
        </w:rPr>
        <w:t xml:space="preserve">Instead, we </w:t>
      </w:r>
      <w:r w:rsidR="009A0EF8">
        <w:rPr>
          <w:rFonts w:ascii="Arial Narrow" w:hAnsi="Arial Narrow"/>
          <w:sz w:val="24"/>
          <w:szCs w:val="24"/>
        </w:rPr>
        <w:t xml:space="preserve">recommend </w:t>
      </w:r>
      <w:r w:rsidRPr="00D24E61">
        <w:rPr>
          <w:rFonts w:ascii="Arial Narrow" w:hAnsi="Arial Narrow"/>
          <w:sz w:val="24"/>
          <w:szCs w:val="24"/>
        </w:rPr>
        <w:t>endors</w:t>
      </w:r>
      <w:r w:rsidR="009A0EF8">
        <w:rPr>
          <w:rFonts w:ascii="Arial Narrow" w:hAnsi="Arial Narrow"/>
          <w:sz w:val="24"/>
          <w:szCs w:val="24"/>
        </w:rPr>
        <w:t>ement</w:t>
      </w:r>
      <w:r w:rsidRPr="00D24E61">
        <w:rPr>
          <w:rFonts w:ascii="Arial Narrow" w:hAnsi="Arial Narrow"/>
          <w:sz w:val="24"/>
          <w:szCs w:val="24"/>
        </w:rPr>
        <w:t xml:space="preserve"> </w:t>
      </w:r>
      <w:r w:rsidR="009A0EF8">
        <w:rPr>
          <w:rFonts w:ascii="Arial Narrow" w:hAnsi="Arial Narrow"/>
          <w:sz w:val="24"/>
          <w:szCs w:val="24"/>
        </w:rPr>
        <w:t xml:space="preserve">of </w:t>
      </w:r>
      <w:r w:rsidRPr="00D24E61">
        <w:rPr>
          <w:rFonts w:ascii="Arial Narrow" w:hAnsi="Arial Narrow"/>
          <w:sz w:val="24"/>
          <w:szCs w:val="24"/>
        </w:rPr>
        <w:t xml:space="preserve">the approach </w:t>
      </w:r>
      <w:r w:rsidR="009A0EF8">
        <w:rPr>
          <w:rFonts w:ascii="Arial Narrow" w:hAnsi="Arial Narrow"/>
          <w:sz w:val="24"/>
          <w:szCs w:val="24"/>
        </w:rPr>
        <w:t>taken by</w:t>
      </w:r>
      <w:r w:rsidRPr="00D24E61">
        <w:rPr>
          <w:rFonts w:ascii="Arial Narrow" w:hAnsi="Arial Narrow"/>
          <w:sz w:val="24"/>
          <w:szCs w:val="24"/>
        </w:rPr>
        <w:t xml:space="preserve"> the </w:t>
      </w:r>
      <w:r w:rsidR="008503B9" w:rsidRPr="00D24E61">
        <w:rPr>
          <w:rFonts w:ascii="Arial Narrow" w:hAnsi="Arial Narrow"/>
          <w:sz w:val="24"/>
          <w:szCs w:val="24"/>
        </w:rPr>
        <w:t>UNCRC</w:t>
      </w:r>
      <w:r w:rsidR="00D24E61" w:rsidRPr="00D24E61">
        <w:rPr>
          <w:rFonts w:ascii="Arial Narrow" w:hAnsi="Arial Narrow"/>
          <w:sz w:val="24"/>
          <w:szCs w:val="24"/>
        </w:rPr>
        <w:t xml:space="preserve"> Incorporation</w:t>
      </w:r>
      <w:r w:rsidR="008503B9" w:rsidRPr="00D24E61">
        <w:rPr>
          <w:rFonts w:ascii="Arial Narrow" w:hAnsi="Arial Narrow"/>
          <w:sz w:val="24"/>
          <w:szCs w:val="24"/>
        </w:rPr>
        <w:t xml:space="preserve"> (Scotland) Act </w:t>
      </w:r>
      <w:r w:rsidR="00D24E61" w:rsidRPr="00D24E61">
        <w:rPr>
          <w:rFonts w:ascii="Arial Narrow" w:hAnsi="Arial Narrow"/>
          <w:sz w:val="24"/>
          <w:szCs w:val="24"/>
        </w:rPr>
        <w:t xml:space="preserve">2021 </w:t>
      </w:r>
      <w:r w:rsidR="009A0EF8">
        <w:rPr>
          <w:rFonts w:ascii="Arial Narrow" w:hAnsi="Arial Narrow"/>
          <w:sz w:val="24"/>
          <w:szCs w:val="24"/>
        </w:rPr>
        <w:t>to</w:t>
      </w:r>
      <w:r w:rsidRPr="00D24E61">
        <w:rPr>
          <w:rFonts w:ascii="Arial Narrow" w:hAnsi="Arial Narrow"/>
          <w:sz w:val="24"/>
          <w:szCs w:val="24"/>
        </w:rPr>
        <w:t xml:space="preserve"> include an interpretive clause in the new Scotland human rights framework</w:t>
      </w:r>
      <w:r w:rsidRPr="00250B23">
        <w:rPr>
          <w:rFonts w:ascii="Arial Narrow" w:hAnsi="Arial Narrow"/>
          <w:b/>
          <w:bCs/>
          <w:sz w:val="24"/>
          <w:szCs w:val="24"/>
        </w:rPr>
        <w:t xml:space="preserve"> </w:t>
      </w:r>
      <w:r w:rsidRPr="00250B23">
        <w:rPr>
          <w:rFonts w:ascii="Arial Narrow" w:hAnsi="Arial Narrow"/>
          <w:sz w:val="24"/>
          <w:szCs w:val="24"/>
        </w:rPr>
        <w:t xml:space="preserve">that will enable explicit links to the widest range of international interpretive human rights tools for all of those charged with its implementation and ongoing interpretation. </w:t>
      </w:r>
    </w:p>
    <w:p w14:paraId="0857C534" w14:textId="77777777" w:rsidR="00513B09" w:rsidRDefault="00513B09">
      <w:pPr>
        <w:rPr>
          <w:rFonts w:ascii="Arial Narrow" w:hAnsi="Arial Narrow" w:cs="Arial"/>
          <w:b/>
          <w:bCs/>
          <w:sz w:val="24"/>
          <w:szCs w:val="24"/>
        </w:rPr>
      </w:pPr>
    </w:p>
    <w:p w14:paraId="65D56075" w14:textId="7C55E369" w:rsidR="00696B42" w:rsidRPr="00513B09" w:rsidRDefault="000F4E97">
      <w:pPr>
        <w:rPr>
          <w:rFonts w:ascii="Arial Narrow" w:hAnsi="Arial Narrow" w:cs="Arial"/>
          <w:b/>
          <w:bCs/>
          <w:sz w:val="28"/>
          <w:szCs w:val="28"/>
        </w:rPr>
      </w:pPr>
      <w:r>
        <w:rPr>
          <w:rFonts w:ascii="Arial Narrow" w:hAnsi="Arial Narrow" w:cs="Arial"/>
          <w:b/>
          <w:bCs/>
          <w:sz w:val="28"/>
          <w:szCs w:val="28"/>
        </w:rPr>
        <w:t>I</w:t>
      </w:r>
      <w:r w:rsidR="00C57900" w:rsidRPr="00513B09">
        <w:rPr>
          <w:rFonts w:ascii="Arial Narrow" w:hAnsi="Arial Narrow" w:cs="Arial"/>
          <w:b/>
          <w:bCs/>
          <w:sz w:val="28"/>
          <w:szCs w:val="28"/>
        </w:rPr>
        <w:t>mpact of the HRA on the relationship between the judiciary, the executive and the legislature</w:t>
      </w:r>
    </w:p>
    <w:p w14:paraId="74E22A9B" w14:textId="1495CFD9" w:rsidR="00523305" w:rsidRPr="00883AD4" w:rsidRDefault="00523305">
      <w:pPr>
        <w:rPr>
          <w:rFonts w:ascii="Arial Narrow" w:hAnsi="Arial Narrow" w:cs="Arial"/>
          <w:sz w:val="24"/>
          <w:szCs w:val="24"/>
        </w:rPr>
      </w:pPr>
      <w:r w:rsidRPr="00883AD4">
        <w:rPr>
          <w:rFonts w:ascii="Arial Narrow" w:hAnsi="Arial Narrow" w:cs="Arial"/>
          <w:sz w:val="24"/>
          <w:szCs w:val="24"/>
        </w:rPr>
        <w:t>The strengths of the current approach include:</w:t>
      </w:r>
    </w:p>
    <w:p w14:paraId="3B099029" w14:textId="4C65942F" w:rsidR="007A2151" w:rsidRPr="00883AD4" w:rsidRDefault="00523305" w:rsidP="007A2151">
      <w:pPr>
        <w:pStyle w:val="ListParagraph"/>
        <w:numPr>
          <w:ilvl w:val="0"/>
          <w:numId w:val="5"/>
        </w:numPr>
        <w:rPr>
          <w:rFonts w:ascii="Arial Narrow" w:hAnsi="Arial Narrow" w:cs="Arial"/>
          <w:b/>
          <w:bCs/>
          <w:sz w:val="24"/>
          <w:szCs w:val="24"/>
        </w:rPr>
      </w:pPr>
      <w:r w:rsidRPr="00883AD4">
        <w:rPr>
          <w:rFonts w:ascii="Arial Narrow" w:hAnsi="Arial Narrow" w:cs="Arial"/>
          <w:b/>
          <w:bCs/>
          <w:sz w:val="24"/>
          <w:szCs w:val="24"/>
        </w:rPr>
        <w:t>I</w:t>
      </w:r>
      <w:r w:rsidR="007A2151" w:rsidRPr="00883AD4">
        <w:rPr>
          <w:rFonts w:ascii="Arial Narrow" w:hAnsi="Arial Narrow" w:cs="Arial"/>
          <w:b/>
          <w:bCs/>
          <w:sz w:val="24"/>
          <w:szCs w:val="24"/>
        </w:rPr>
        <w:t xml:space="preserve">ndividuals </w:t>
      </w:r>
      <w:r w:rsidRPr="00883AD4">
        <w:rPr>
          <w:rFonts w:ascii="Arial Narrow" w:hAnsi="Arial Narrow" w:cs="Arial"/>
          <w:b/>
          <w:bCs/>
          <w:sz w:val="24"/>
          <w:szCs w:val="24"/>
        </w:rPr>
        <w:t xml:space="preserve">have </w:t>
      </w:r>
      <w:r w:rsidR="007A2151" w:rsidRPr="00883AD4">
        <w:rPr>
          <w:rFonts w:ascii="Arial Narrow" w:hAnsi="Arial Narrow" w:cs="Arial"/>
          <w:b/>
          <w:bCs/>
          <w:sz w:val="24"/>
          <w:szCs w:val="24"/>
        </w:rPr>
        <w:t xml:space="preserve">a route to </w:t>
      </w:r>
      <w:r w:rsidR="004E07EE" w:rsidRPr="00883AD4">
        <w:rPr>
          <w:rFonts w:ascii="Arial Narrow" w:hAnsi="Arial Narrow" w:cs="Arial"/>
          <w:b/>
          <w:bCs/>
          <w:sz w:val="24"/>
          <w:szCs w:val="24"/>
        </w:rPr>
        <w:t xml:space="preserve">effective </w:t>
      </w:r>
      <w:proofErr w:type="gramStart"/>
      <w:r w:rsidR="004E07EE" w:rsidRPr="00883AD4">
        <w:rPr>
          <w:rFonts w:ascii="Arial Narrow" w:hAnsi="Arial Narrow" w:cs="Arial"/>
          <w:b/>
          <w:bCs/>
          <w:sz w:val="24"/>
          <w:szCs w:val="24"/>
        </w:rPr>
        <w:t>remedy</w:t>
      </w:r>
      <w:proofErr w:type="gramEnd"/>
    </w:p>
    <w:p w14:paraId="55436651" w14:textId="00DACBA3" w:rsidR="00F1134A" w:rsidRPr="00883AD4" w:rsidRDefault="00696B42">
      <w:pPr>
        <w:rPr>
          <w:rFonts w:ascii="Arial Narrow" w:hAnsi="Arial Narrow" w:cs="Arial"/>
          <w:sz w:val="24"/>
          <w:szCs w:val="24"/>
        </w:rPr>
      </w:pPr>
      <w:r w:rsidRPr="00883AD4">
        <w:rPr>
          <w:rFonts w:ascii="Arial Narrow" w:hAnsi="Arial Narrow" w:cs="Arial"/>
          <w:sz w:val="24"/>
          <w:szCs w:val="24"/>
        </w:rPr>
        <w:t xml:space="preserve">Consortium member organisations work with some of the most marginalised people in Scotland, made very vulnerable by circumstances that are often </w:t>
      </w:r>
      <w:proofErr w:type="spellStart"/>
      <w:r w:rsidRPr="00883AD4">
        <w:rPr>
          <w:rFonts w:ascii="Arial Narrow" w:hAnsi="Arial Narrow" w:cs="Arial"/>
          <w:sz w:val="24"/>
          <w:szCs w:val="24"/>
        </w:rPr>
        <w:t>outwith</w:t>
      </w:r>
      <w:proofErr w:type="spellEnd"/>
      <w:r w:rsidRPr="00883AD4">
        <w:rPr>
          <w:rFonts w:ascii="Arial Narrow" w:hAnsi="Arial Narrow" w:cs="Arial"/>
          <w:sz w:val="24"/>
          <w:szCs w:val="24"/>
        </w:rPr>
        <w:t xml:space="preserve"> their control. Often their sense of agency and dignity are in tatters. They are often in minority groups whose </w:t>
      </w:r>
      <w:proofErr w:type="gramStart"/>
      <w:r w:rsidRPr="00883AD4">
        <w:rPr>
          <w:rFonts w:ascii="Arial Narrow" w:hAnsi="Arial Narrow" w:cs="Arial"/>
          <w:sz w:val="24"/>
          <w:szCs w:val="24"/>
        </w:rPr>
        <w:t>particular interests</w:t>
      </w:r>
      <w:proofErr w:type="gramEnd"/>
      <w:r w:rsidRPr="00883AD4">
        <w:rPr>
          <w:rFonts w:ascii="Arial Narrow" w:hAnsi="Arial Narrow" w:cs="Arial"/>
          <w:sz w:val="24"/>
          <w:szCs w:val="24"/>
        </w:rPr>
        <w:t xml:space="preserve"> would not show up in manifestos or be major issues at the ballot box – indeed, sometimes their interests are those which become political footballs. </w:t>
      </w:r>
      <w:r w:rsidR="007952DC" w:rsidRPr="00883AD4">
        <w:rPr>
          <w:rFonts w:ascii="Arial Narrow" w:hAnsi="Arial Narrow" w:cs="Arial"/>
          <w:sz w:val="24"/>
          <w:szCs w:val="24"/>
        </w:rPr>
        <w:t>The role of the courts is vital as an avenue for them</w:t>
      </w:r>
      <w:r w:rsidR="004E07EE" w:rsidRPr="00883AD4">
        <w:rPr>
          <w:rFonts w:ascii="Arial Narrow" w:hAnsi="Arial Narrow" w:cs="Arial"/>
          <w:sz w:val="24"/>
          <w:szCs w:val="24"/>
        </w:rPr>
        <w:t xml:space="preserve"> as individuals</w:t>
      </w:r>
      <w:r w:rsidR="007952DC" w:rsidRPr="00883AD4">
        <w:rPr>
          <w:rFonts w:ascii="Arial Narrow" w:hAnsi="Arial Narrow" w:cs="Arial"/>
          <w:sz w:val="24"/>
          <w:szCs w:val="24"/>
        </w:rPr>
        <w:t xml:space="preserve"> to ensure that </w:t>
      </w:r>
      <w:r w:rsidR="00F1134A" w:rsidRPr="00883AD4">
        <w:rPr>
          <w:rFonts w:ascii="Arial Narrow" w:hAnsi="Arial Narrow" w:cs="Arial"/>
          <w:sz w:val="24"/>
          <w:szCs w:val="24"/>
        </w:rPr>
        <w:t xml:space="preserve">the </w:t>
      </w:r>
      <w:r w:rsidR="007952DC" w:rsidRPr="00883AD4">
        <w:rPr>
          <w:rFonts w:ascii="Arial Narrow" w:hAnsi="Arial Narrow" w:cs="Arial"/>
          <w:sz w:val="24"/>
          <w:szCs w:val="24"/>
        </w:rPr>
        <w:t>implications for their human rights</w:t>
      </w:r>
      <w:r w:rsidR="00F1134A" w:rsidRPr="00883AD4">
        <w:rPr>
          <w:rFonts w:ascii="Arial Narrow" w:hAnsi="Arial Narrow" w:cs="Arial"/>
          <w:sz w:val="24"/>
          <w:szCs w:val="24"/>
        </w:rPr>
        <w:t xml:space="preserve"> of any law or policy</w:t>
      </w:r>
      <w:r w:rsidR="007952DC" w:rsidRPr="00883AD4">
        <w:rPr>
          <w:rFonts w:ascii="Arial Narrow" w:hAnsi="Arial Narrow" w:cs="Arial"/>
          <w:sz w:val="24"/>
          <w:szCs w:val="24"/>
        </w:rPr>
        <w:t xml:space="preserve"> are </w:t>
      </w:r>
      <w:proofErr w:type="gramStart"/>
      <w:r w:rsidR="007952DC" w:rsidRPr="00883AD4">
        <w:rPr>
          <w:rFonts w:ascii="Arial Narrow" w:hAnsi="Arial Narrow" w:cs="Arial"/>
          <w:sz w:val="24"/>
          <w:szCs w:val="24"/>
        </w:rPr>
        <w:t>taken into account</w:t>
      </w:r>
      <w:proofErr w:type="gramEnd"/>
      <w:r w:rsidR="007952DC" w:rsidRPr="00883AD4">
        <w:rPr>
          <w:rFonts w:ascii="Arial Narrow" w:hAnsi="Arial Narrow" w:cs="Arial"/>
          <w:sz w:val="24"/>
          <w:szCs w:val="24"/>
        </w:rPr>
        <w:t xml:space="preserve">.  </w:t>
      </w:r>
      <w:r w:rsidR="00F1134A" w:rsidRPr="00883AD4">
        <w:rPr>
          <w:rFonts w:ascii="Arial Narrow" w:hAnsi="Arial Narrow" w:cs="Arial"/>
          <w:sz w:val="24"/>
          <w:szCs w:val="24"/>
        </w:rPr>
        <w:t>The courts are a fundamental route for</w:t>
      </w:r>
      <w:r w:rsidR="004E07EE" w:rsidRPr="00883AD4">
        <w:rPr>
          <w:rFonts w:ascii="Arial Narrow" w:hAnsi="Arial Narrow" w:cs="Arial"/>
          <w:sz w:val="24"/>
          <w:szCs w:val="24"/>
        </w:rPr>
        <w:t xml:space="preserve"> these</w:t>
      </w:r>
      <w:r w:rsidR="00F1134A" w:rsidRPr="00883AD4">
        <w:rPr>
          <w:rFonts w:ascii="Arial Narrow" w:hAnsi="Arial Narrow" w:cs="Arial"/>
          <w:sz w:val="24"/>
          <w:szCs w:val="24"/>
        </w:rPr>
        <w:t xml:space="preserve"> individuals to access accountability </w:t>
      </w:r>
      <w:r w:rsidR="002B7BC5" w:rsidRPr="00883AD4">
        <w:rPr>
          <w:rFonts w:ascii="Arial Narrow" w:hAnsi="Arial Narrow" w:cs="Arial"/>
          <w:sz w:val="24"/>
          <w:szCs w:val="24"/>
        </w:rPr>
        <w:t xml:space="preserve">and to have a voice </w:t>
      </w:r>
      <w:r w:rsidR="00F1134A" w:rsidRPr="00883AD4">
        <w:rPr>
          <w:rFonts w:ascii="Arial Narrow" w:hAnsi="Arial Narrow" w:cs="Arial"/>
          <w:sz w:val="24"/>
          <w:szCs w:val="24"/>
        </w:rPr>
        <w:t>– without judicial review, the</w:t>
      </w:r>
      <w:r w:rsidR="004E07EE" w:rsidRPr="00883AD4">
        <w:rPr>
          <w:rFonts w:ascii="Arial Narrow" w:hAnsi="Arial Narrow" w:cs="Arial"/>
          <w:sz w:val="24"/>
          <w:szCs w:val="24"/>
        </w:rPr>
        <w:t xml:space="preserve">ir </w:t>
      </w:r>
      <w:r w:rsidR="004E07EE" w:rsidRPr="00BA11AB">
        <w:rPr>
          <w:rFonts w:ascii="Arial Narrow" w:hAnsi="Arial Narrow" w:cs="Arial"/>
          <w:sz w:val="24"/>
          <w:szCs w:val="24"/>
        </w:rPr>
        <w:t xml:space="preserve">rights would be infringed upon, often very seriously, and their lives negatively impacted without any way to challenge this. </w:t>
      </w:r>
      <w:r w:rsidR="0094669D" w:rsidRPr="00BA11AB">
        <w:rPr>
          <w:rFonts w:ascii="Arial Narrow" w:hAnsi="Arial Narrow"/>
          <w:sz w:val="24"/>
          <w:szCs w:val="24"/>
        </w:rPr>
        <w:t>Judicial review with the current (working) HRA framework gives people</w:t>
      </w:r>
      <w:r w:rsidR="0094669D" w:rsidRPr="00BA11AB">
        <w:rPr>
          <w:rFonts w:ascii="Arial Narrow" w:hAnsi="Arial Narrow" w:cs="Arial"/>
          <w:sz w:val="24"/>
          <w:szCs w:val="24"/>
        </w:rPr>
        <w:t xml:space="preserve"> </w:t>
      </w:r>
      <w:r w:rsidR="004E07EE" w:rsidRPr="00BA11AB">
        <w:rPr>
          <w:rFonts w:ascii="Arial Narrow" w:hAnsi="Arial Narrow" w:cs="Arial"/>
          <w:sz w:val="24"/>
          <w:szCs w:val="24"/>
        </w:rPr>
        <w:t xml:space="preserve">hope, dignity and </w:t>
      </w:r>
      <w:r w:rsidR="00C579F8" w:rsidRPr="00BA11AB">
        <w:rPr>
          <w:rFonts w:ascii="Arial Narrow" w:hAnsi="Arial Narrow" w:cs="Arial"/>
          <w:sz w:val="24"/>
          <w:szCs w:val="24"/>
        </w:rPr>
        <w:t xml:space="preserve">ultimately </w:t>
      </w:r>
      <w:r w:rsidR="004E07EE" w:rsidRPr="00BA11AB">
        <w:rPr>
          <w:rFonts w:ascii="Arial Narrow" w:hAnsi="Arial Narrow" w:cs="Arial"/>
          <w:sz w:val="24"/>
          <w:szCs w:val="24"/>
        </w:rPr>
        <w:t>protection of their basic rights.</w:t>
      </w:r>
    </w:p>
    <w:p w14:paraId="53869CD3" w14:textId="0C39E47C" w:rsidR="007A2151" w:rsidRDefault="007A2151">
      <w:pPr>
        <w:rPr>
          <w:rFonts w:ascii="Arial Narrow" w:hAnsi="Arial Narrow" w:cs="Arial"/>
          <w:sz w:val="24"/>
          <w:szCs w:val="24"/>
        </w:rPr>
      </w:pPr>
    </w:p>
    <w:p w14:paraId="5D329DEB" w14:textId="2F8A9E22" w:rsidR="00834D2A" w:rsidRDefault="00834D2A">
      <w:pPr>
        <w:rPr>
          <w:rFonts w:ascii="Arial Narrow" w:hAnsi="Arial Narrow" w:cs="Arial"/>
          <w:sz w:val="24"/>
          <w:szCs w:val="24"/>
        </w:rPr>
      </w:pPr>
    </w:p>
    <w:p w14:paraId="4D0D6BE6" w14:textId="26C5EB09" w:rsidR="00834D2A" w:rsidRDefault="00834D2A">
      <w:pPr>
        <w:rPr>
          <w:rFonts w:ascii="Arial Narrow" w:hAnsi="Arial Narrow" w:cs="Arial"/>
          <w:sz w:val="24"/>
          <w:szCs w:val="24"/>
        </w:rPr>
      </w:pPr>
    </w:p>
    <w:p w14:paraId="5357A0DC" w14:textId="1880EA3C" w:rsidR="00432F5B" w:rsidRDefault="00432F5B">
      <w:pPr>
        <w:rPr>
          <w:rFonts w:ascii="Arial Narrow" w:hAnsi="Arial Narrow" w:cs="Arial"/>
          <w:sz w:val="24"/>
          <w:szCs w:val="24"/>
        </w:rPr>
      </w:pPr>
    </w:p>
    <w:p w14:paraId="49DB4AD6" w14:textId="46781BF8" w:rsidR="00432F5B" w:rsidRDefault="00432F5B">
      <w:pPr>
        <w:rPr>
          <w:rFonts w:ascii="Arial Narrow" w:hAnsi="Arial Narrow" w:cs="Arial"/>
          <w:sz w:val="24"/>
          <w:szCs w:val="24"/>
        </w:rPr>
      </w:pPr>
    </w:p>
    <w:p w14:paraId="40CC0048" w14:textId="08D5E30C" w:rsidR="00432F5B" w:rsidRDefault="00703374">
      <w:pPr>
        <w:rPr>
          <w:rFonts w:ascii="Arial Narrow" w:hAnsi="Arial Narrow" w:cs="Arial"/>
          <w:sz w:val="24"/>
          <w:szCs w:val="24"/>
        </w:rPr>
      </w:pPr>
      <w:r>
        <w:rPr>
          <w:rFonts w:ascii="Arial Narrow" w:hAnsi="Arial Narrow" w:cs="Arial"/>
          <w:noProof/>
          <w:sz w:val="24"/>
          <w:szCs w:val="24"/>
        </w:rPr>
        <w:lastRenderedPageBreak/>
        <mc:AlternateContent>
          <mc:Choice Requires="wps">
            <w:drawing>
              <wp:anchor distT="0" distB="0" distL="114300" distR="114300" simplePos="0" relativeHeight="251661824" behindDoc="0" locked="0" layoutInCell="1" allowOverlap="1" wp14:anchorId="7F6370A2" wp14:editId="6D8D108C">
                <wp:simplePos x="0" y="0"/>
                <wp:positionH relativeFrom="margin">
                  <wp:posOffset>-285750</wp:posOffset>
                </wp:positionH>
                <wp:positionV relativeFrom="paragraph">
                  <wp:posOffset>-687705</wp:posOffset>
                </wp:positionV>
                <wp:extent cx="6388100" cy="34734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388100" cy="3473450"/>
                        </a:xfrm>
                        <a:prstGeom prst="rect">
                          <a:avLst/>
                        </a:prstGeom>
                        <a:solidFill>
                          <a:schemeClr val="lt1"/>
                        </a:solidFill>
                        <a:ln w="6350">
                          <a:solidFill>
                            <a:prstClr val="black"/>
                          </a:solidFill>
                        </a:ln>
                      </wps:spPr>
                      <wps:txbx>
                        <w:txbxContent>
                          <w:p w14:paraId="4E872643" w14:textId="77777777" w:rsidR="007526BD" w:rsidRPr="00432F5B" w:rsidRDefault="007526BD" w:rsidP="007526BD">
                            <w:pPr>
                              <w:rPr>
                                <w:rFonts w:ascii="Arial Narrow" w:hAnsi="Arial Narrow" w:cs="Arial"/>
                                <w:b/>
                                <w:bCs/>
                                <w:color w:val="000000"/>
                                <w:sz w:val="24"/>
                                <w:szCs w:val="24"/>
                              </w:rPr>
                            </w:pPr>
                            <w:r w:rsidRPr="00432F5B">
                              <w:rPr>
                                <w:rFonts w:ascii="Arial Narrow" w:hAnsi="Arial Narrow" w:cs="Arial"/>
                                <w:b/>
                                <w:bCs/>
                                <w:color w:val="000000"/>
                                <w:sz w:val="24"/>
                                <w:szCs w:val="24"/>
                              </w:rPr>
                              <w:t>Example from Scottish Refugee Council</w:t>
                            </w:r>
                          </w:p>
                          <w:p w14:paraId="31D3AD62" w14:textId="77777777" w:rsidR="007526BD" w:rsidRPr="00432F5B" w:rsidRDefault="007526BD" w:rsidP="007526BD">
                            <w:pPr>
                              <w:rPr>
                                <w:rFonts w:ascii="Arial Narrow" w:hAnsi="Arial Narrow" w:cs="Arial"/>
                                <w:color w:val="000000"/>
                                <w:sz w:val="24"/>
                                <w:szCs w:val="24"/>
                              </w:rPr>
                            </w:pPr>
                            <w:r w:rsidRPr="00432F5B">
                              <w:rPr>
                                <w:rFonts w:ascii="Arial Narrow" w:hAnsi="Arial Narrow" w:cs="Arial"/>
                                <w:color w:val="000000"/>
                                <w:sz w:val="24"/>
                                <w:szCs w:val="24"/>
                              </w:rPr>
                              <w:t xml:space="preserve">The HRA has provided significant protection to people seeing asylum and those recognised as refugees in the UK. Whilst the rights afforded by 1951 Refugee Convention primarily only apply to those fall within its definition of who is and who is not a ‘refugee’ (and have never been formally incorporated into domestic law), the protections of the ECHR, and by extension those of the HRA, encompass everyone within the UK.  As such, people who seek safety in the UK who do not meet the threshold of the 1951 Convention or are seeking protection for reasons </w:t>
                            </w:r>
                            <w:r w:rsidRPr="00432F5B">
                              <w:rPr>
                                <w:rFonts w:ascii="Arial Narrow" w:hAnsi="Arial Narrow" w:cs="Arial"/>
                                <w:color w:val="000000"/>
                                <w:sz w:val="24"/>
                                <w:szCs w:val="24"/>
                              </w:rPr>
                              <w:t xml:space="preserve">outwith the Convention have enjoyed the protections of the HRA - chiefly afforded by Article 3 (ECHR) or Article 8 (ECHR) alone or in tandem with Article 14 (ECHR).  </w:t>
                            </w:r>
                          </w:p>
                          <w:p w14:paraId="20AF68A9" w14:textId="77777777" w:rsidR="007526BD" w:rsidRPr="00432F5B" w:rsidRDefault="007526BD" w:rsidP="007526BD">
                            <w:pPr>
                              <w:rPr>
                                <w:rFonts w:ascii="Arial Narrow" w:hAnsi="Arial Narrow" w:cs="Arial"/>
                                <w:color w:val="000000"/>
                                <w:sz w:val="24"/>
                                <w:szCs w:val="24"/>
                              </w:rPr>
                            </w:pPr>
                            <w:r w:rsidRPr="00432F5B">
                              <w:rPr>
                                <w:rFonts w:ascii="Arial Narrow" w:hAnsi="Arial Narrow" w:cs="Arial"/>
                                <w:color w:val="000000"/>
                                <w:sz w:val="24"/>
                                <w:szCs w:val="24"/>
                              </w:rPr>
                              <w:t>Since March last year, Scottish Refugee Council and other NGOs have sought to ensure that asylum seekers, already in vulnerable situations before the pandemic, have been able to be safe and comply with Covid-19 restrictions to protect everyone, often having to employ human rights arguments to do so. In October 2020 as England moved into a second phase of tighter Covid-19 restrictions, the First Tier of the Asylum Support Tribunal allowed an appeal against the Home Office’s decision to end accommodation and basic financial support to two refused asylum seekers (PA/MA)</w:t>
                            </w:r>
                            <w:r w:rsidRPr="00432F5B">
                              <w:rPr>
                                <w:rStyle w:val="FootnoteReference"/>
                                <w:rFonts w:ascii="Arial Narrow" w:hAnsi="Arial Narrow" w:cs="Arial"/>
                                <w:color w:val="000000"/>
                                <w:sz w:val="24"/>
                                <w:szCs w:val="24"/>
                              </w:rPr>
                              <w:t>[1]</w:t>
                            </w:r>
                            <w:r w:rsidRPr="00432F5B">
                              <w:rPr>
                                <w:rFonts w:ascii="Arial Narrow" w:hAnsi="Arial Narrow" w:cs="Arial"/>
                                <w:color w:val="000000"/>
                                <w:sz w:val="24"/>
                                <w:szCs w:val="24"/>
                              </w:rPr>
                              <w:t xml:space="preserve">.  The decision concluded that making people destitute who reside in an area under Tier 3 restrictions, and are unwilling to leave the UK, may not only breach their Convention rights but those of the </w:t>
                            </w:r>
                            <w:r w:rsidRPr="00432F5B">
                              <w:rPr>
                                <w:rFonts w:ascii="Arial Narrow" w:hAnsi="Arial Narrow" w:cs="Arial"/>
                                <w:color w:val="000000"/>
                                <w:sz w:val="24"/>
                                <w:szCs w:val="24"/>
                              </w:rPr>
                              <w:t xml:space="preserve">general public and the risk to their health and wellbeing.  </w:t>
                            </w:r>
                          </w:p>
                          <w:p w14:paraId="044EEFFE" w14:textId="77777777" w:rsidR="007526BD" w:rsidRDefault="007526BD" w:rsidP="00752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70A2" id="Text Box 3" o:spid="_x0000_s1029" type="#_x0000_t202" style="position:absolute;margin-left:-22.5pt;margin-top:-54.15pt;width:503pt;height:27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GOTAIAAKkEAAAOAAAAZHJzL2Uyb0RvYy54bWysVE1vGjEQvVfqf7B8LwuBJASxRJSIqlKU&#10;REqqnI3XG1b1elzbsEt/fZ/NQkjSU9WLd778PPNmZqfXba3ZVjlfkcn5oNfnTBlJRWVecv7jafll&#10;zJkPwhRCk1E53ynPr2efP00bO1FntCZdKMcAYvyksTlfh2AnWeblWtXC98gqA2dJrhYBqnvJCica&#10;oNc6O+v3L7KGXGEdSeU9rDd7J58l/LJUMtyXpVeB6Zwjt5BOl85VPLPZVExenLDrSnZpiH/IohaV&#10;waNHqBsRBNu46gNUXUlHnsrQk1RnVJaVVKkGVDPov6vmcS2sSrWAHG+PNPn/Byvvtg+OVUXOh5wZ&#10;UaNFT6oN7Cu1bBjZaayfIOjRIiy0MKPLB7uHMRbdlq6OX5TD4AfPuyO3EUzCeDEcjwd9uCR8w9Hl&#10;cHSe2M9er1vnwzdFNYtCzh2alzgV21sfkApCDyHxNU+6KpaV1kmJA6MW2rGtQKt1SEnixpsobVgT&#10;U8HTHxAi9PH+Sgv5M5b5FgGaNjBGUvbFRym0q7ajsCNsRcUOfDnaz5u3clkB/lb48CAcBgw8YGnC&#10;PY5SE3KiTuJsTe733+wxHn2Hl7MGA5tz/2sjnOJMfzeYiKvBaBQnPCmj88szKO7Uszr1mE29IBA1&#10;wHpamcQYH/RBLB3Vz9iteXwVLmEk3s55OIiLsF8j7KZU83kKwkxbEW7No5UROnIcaX1qn4WzXVsD&#10;JuKODqMtJu+6u4+NNw3NN4HKKrU+8rxntaMf+5C60+1uXLhTPUW9/mFmfwAAAP//AwBQSwMEFAAG&#10;AAgAAAAhAB8oA8LgAAAADAEAAA8AAABkcnMvZG93bnJldi54bWxMj8FOwzAQRO9I/IO1SNxaJ7QU&#10;N8SpABUunChVz9vYtS1iO4rdNPw9ywluuzuj2Tf1ZvIdG/WQXAwSynkBTIc2KheMhP3n60wASxmD&#10;wi4GLeFbJ9g011c1Vipewoced9kwCgmpQgk2577iPLVWe0zz2OtA2ikOHjOtg+FqwAuF+47fFcWK&#10;e3SBPljs9YvV7dfu7CVsn83atAIHuxXKuXE6nN7Nm5S3N9PTI7Csp/xnhl98QoeGmI7xHFRinYTZ&#10;8p66ZBrKQiyAkWW9Kul0lLBciAfgTc3/l2h+AAAA//8DAFBLAQItABQABgAIAAAAIQC2gziS/gAA&#10;AOEBAAATAAAAAAAAAAAAAAAAAAAAAABbQ29udGVudF9UeXBlc10ueG1sUEsBAi0AFAAGAAgAAAAh&#10;ADj9If/WAAAAlAEAAAsAAAAAAAAAAAAAAAAALwEAAF9yZWxzLy5yZWxzUEsBAi0AFAAGAAgAAAAh&#10;APCWMY5MAgAAqQQAAA4AAAAAAAAAAAAAAAAALgIAAGRycy9lMm9Eb2MueG1sUEsBAi0AFAAGAAgA&#10;AAAhAB8oA8LgAAAADAEAAA8AAAAAAAAAAAAAAAAApgQAAGRycy9kb3ducmV2LnhtbFBLBQYAAAAA&#10;BAAEAPMAAACzBQAAAAA=&#10;" fillcolor="white [3201]" strokeweight=".5pt">
                <v:textbox>
                  <w:txbxContent>
                    <w:p w14:paraId="4E872643" w14:textId="77777777" w:rsidR="007526BD" w:rsidRPr="00432F5B" w:rsidRDefault="007526BD" w:rsidP="007526BD">
                      <w:pPr>
                        <w:rPr>
                          <w:rFonts w:ascii="Arial Narrow" w:hAnsi="Arial Narrow" w:cs="Arial"/>
                          <w:b/>
                          <w:bCs/>
                          <w:color w:val="000000"/>
                          <w:sz w:val="24"/>
                          <w:szCs w:val="24"/>
                        </w:rPr>
                      </w:pPr>
                      <w:r w:rsidRPr="00432F5B">
                        <w:rPr>
                          <w:rFonts w:ascii="Arial Narrow" w:hAnsi="Arial Narrow" w:cs="Arial"/>
                          <w:b/>
                          <w:bCs/>
                          <w:color w:val="000000"/>
                          <w:sz w:val="24"/>
                          <w:szCs w:val="24"/>
                        </w:rPr>
                        <w:t>Example from Scottish Refugee Council</w:t>
                      </w:r>
                    </w:p>
                    <w:p w14:paraId="31D3AD62" w14:textId="77777777" w:rsidR="007526BD" w:rsidRPr="00432F5B" w:rsidRDefault="007526BD" w:rsidP="007526BD">
                      <w:pPr>
                        <w:rPr>
                          <w:rFonts w:ascii="Arial Narrow" w:hAnsi="Arial Narrow" w:cs="Arial"/>
                          <w:color w:val="000000"/>
                          <w:sz w:val="24"/>
                          <w:szCs w:val="24"/>
                        </w:rPr>
                      </w:pPr>
                      <w:r w:rsidRPr="00432F5B">
                        <w:rPr>
                          <w:rFonts w:ascii="Arial Narrow" w:hAnsi="Arial Narrow" w:cs="Arial"/>
                          <w:color w:val="000000"/>
                          <w:sz w:val="24"/>
                          <w:szCs w:val="24"/>
                        </w:rPr>
                        <w:t xml:space="preserve">The HRA has provided significant protection to people seeing asylum and those recognised as refugees in the UK. Whilst the rights afforded by 1951 Refugee Convention primarily only apply to those fall within its definition of who is and who is not a ‘refugee’ (and have never been formally incorporated into domestic law), the protections of the ECHR, and by extension those of the HRA, encompass everyone within the UK.  As such, people who seek safety in the UK who do not meet the threshold of the 1951 Convention or are seeking protection for reasons </w:t>
                      </w:r>
                      <w:proofErr w:type="spellStart"/>
                      <w:r w:rsidRPr="00432F5B">
                        <w:rPr>
                          <w:rFonts w:ascii="Arial Narrow" w:hAnsi="Arial Narrow" w:cs="Arial"/>
                          <w:color w:val="000000"/>
                          <w:sz w:val="24"/>
                          <w:szCs w:val="24"/>
                        </w:rPr>
                        <w:t>outwith</w:t>
                      </w:r>
                      <w:proofErr w:type="spellEnd"/>
                      <w:r w:rsidRPr="00432F5B">
                        <w:rPr>
                          <w:rFonts w:ascii="Arial Narrow" w:hAnsi="Arial Narrow" w:cs="Arial"/>
                          <w:color w:val="000000"/>
                          <w:sz w:val="24"/>
                          <w:szCs w:val="24"/>
                        </w:rPr>
                        <w:t xml:space="preserve"> the Convention have enjoyed the protections of the HRA - chiefly afforded by Article 3 (ECHR) or Article 8 (ECHR) alone or in tandem with Article 14 (ECHR).  </w:t>
                      </w:r>
                    </w:p>
                    <w:p w14:paraId="20AF68A9" w14:textId="77777777" w:rsidR="007526BD" w:rsidRPr="00432F5B" w:rsidRDefault="007526BD" w:rsidP="007526BD">
                      <w:pPr>
                        <w:rPr>
                          <w:rFonts w:ascii="Arial Narrow" w:hAnsi="Arial Narrow" w:cs="Arial"/>
                          <w:color w:val="000000"/>
                          <w:sz w:val="24"/>
                          <w:szCs w:val="24"/>
                        </w:rPr>
                      </w:pPr>
                      <w:r w:rsidRPr="00432F5B">
                        <w:rPr>
                          <w:rFonts w:ascii="Arial Narrow" w:hAnsi="Arial Narrow" w:cs="Arial"/>
                          <w:color w:val="000000"/>
                          <w:sz w:val="24"/>
                          <w:szCs w:val="24"/>
                        </w:rPr>
                        <w:t>Since March last year, Scottish Refugee Council and other NGOs have sought to ensure that asylum seekers, already in vulnerable situations before the pandemic, have been able to be safe and comply with Covid-19 restrictions to protect everyone, often having to employ human rights arguments to do so. In October 2020 as England moved into a second phase of tighter Covid-19 restrictions, the First Tier of the Asylum Support Tribunal allowed an appeal against the Home Office’s decision to end accommodation and basic financial support to two refused asylum seekers (PA/MA)</w:t>
                      </w:r>
                      <w:r w:rsidRPr="00432F5B">
                        <w:rPr>
                          <w:rStyle w:val="FootnoteReference"/>
                          <w:rFonts w:ascii="Arial Narrow" w:hAnsi="Arial Narrow" w:cs="Arial"/>
                          <w:color w:val="000000"/>
                          <w:sz w:val="24"/>
                          <w:szCs w:val="24"/>
                        </w:rPr>
                        <w:t>[1]</w:t>
                      </w:r>
                      <w:r w:rsidRPr="00432F5B">
                        <w:rPr>
                          <w:rFonts w:ascii="Arial Narrow" w:hAnsi="Arial Narrow" w:cs="Arial"/>
                          <w:color w:val="000000"/>
                          <w:sz w:val="24"/>
                          <w:szCs w:val="24"/>
                        </w:rPr>
                        <w:t xml:space="preserve">.  The decision concluded that making people destitute who reside in an area under Tier 3 restrictions, and are unwilling to leave the UK, may not only breach their Convention rights but those of the </w:t>
                      </w:r>
                      <w:proofErr w:type="gramStart"/>
                      <w:r w:rsidRPr="00432F5B">
                        <w:rPr>
                          <w:rFonts w:ascii="Arial Narrow" w:hAnsi="Arial Narrow" w:cs="Arial"/>
                          <w:color w:val="000000"/>
                          <w:sz w:val="24"/>
                          <w:szCs w:val="24"/>
                        </w:rPr>
                        <w:t>general public</w:t>
                      </w:r>
                      <w:proofErr w:type="gramEnd"/>
                      <w:r w:rsidRPr="00432F5B">
                        <w:rPr>
                          <w:rFonts w:ascii="Arial Narrow" w:hAnsi="Arial Narrow" w:cs="Arial"/>
                          <w:color w:val="000000"/>
                          <w:sz w:val="24"/>
                          <w:szCs w:val="24"/>
                        </w:rPr>
                        <w:t xml:space="preserve"> and the risk to their health and wellbeing.  </w:t>
                      </w:r>
                    </w:p>
                    <w:p w14:paraId="044EEFFE" w14:textId="77777777" w:rsidR="007526BD" w:rsidRDefault="007526BD" w:rsidP="007526BD"/>
                  </w:txbxContent>
                </v:textbox>
                <w10:wrap anchorx="margin"/>
              </v:shape>
            </w:pict>
          </mc:Fallback>
        </mc:AlternateContent>
      </w:r>
    </w:p>
    <w:p w14:paraId="6F16571A" w14:textId="4718775B" w:rsidR="00432F5B" w:rsidRDefault="00432F5B">
      <w:pPr>
        <w:rPr>
          <w:rFonts w:ascii="Arial Narrow" w:hAnsi="Arial Narrow" w:cs="Arial"/>
          <w:sz w:val="24"/>
          <w:szCs w:val="24"/>
        </w:rPr>
      </w:pPr>
    </w:p>
    <w:p w14:paraId="10A7C217" w14:textId="0ECDB2A4" w:rsidR="00432F5B" w:rsidRDefault="00432F5B">
      <w:pPr>
        <w:rPr>
          <w:rFonts w:ascii="Arial Narrow" w:hAnsi="Arial Narrow" w:cs="Arial"/>
          <w:sz w:val="24"/>
          <w:szCs w:val="24"/>
        </w:rPr>
      </w:pPr>
    </w:p>
    <w:p w14:paraId="044AFF98" w14:textId="77777777" w:rsidR="00432F5B" w:rsidRDefault="00432F5B">
      <w:pPr>
        <w:rPr>
          <w:rFonts w:ascii="Arial Narrow" w:hAnsi="Arial Narrow" w:cs="Arial"/>
          <w:sz w:val="24"/>
          <w:szCs w:val="24"/>
        </w:rPr>
      </w:pPr>
    </w:p>
    <w:p w14:paraId="3F0B16A8" w14:textId="2770F596" w:rsidR="00834D2A" w:rsidRDefault="00834D2A">
      <w:pPr>
        <w:rPr>
          <w:rFonts w:ascii="Arial Narrow" w:hAnsi="Arial Narrow" w:cs="Arial"/>
          <w:sz w:val="24"/>
          <w:szCs w:val="24"/>
        </w:rPr>
      </w:pPr>
    </w:p>
    <w:p w14:paraId="338A4B11" w14:textId="5DE7CFF9" w:rsidR="00834D2A" w:rsidRDefault="00834D2A">
      <w:pPr>
        <w:rPr>
          <w:rFonts w:ascii="Arial Narrow" w:hAnsi="Arial Narrow" w:cs="Arial"/>
          <w:sz w:val="24"/>
          <w:szCs w:val="24"/>
        </w:rPr>
      </w:pPr>
    </w:p>
    <w:p w14:paraId="212259ED" w14:textId="3DE0A41A" w:rsidR="00432F5B" w:rsidRDefault="00432F5B">
      <w:pPr>
        <w:rPr>
          <w:rFonts w:ascii="Arial Narrow" w:hAnsi="Arial Narrow" w:cs="Arial"/>
          <w:sz w:val="24"/>
          <w:szCs w:val="24"/>
        </w:rPr>
      </w:pPr>
    </w:p>
    <w:p w14:paraId="6E044C77" w14:textId="35F654F6" w:rsidR="00432F5B" w:rsidRDefault="00432F5B">
      <w:pPr>
        <w:rPr>
          <w:rFonts w:ascii="Arial Narrow" w:hAnsi="Arial Narrow" w:cs="Arial"/>
          <w:sz w:val="24"/>
          <w:szCs w:val="24"/>
        </w:rPr>
      </w:pPr>
    </w:p>
    <w:p w14:paraId="17898D59" w14:textId="77777777" w:rsidR="00432F5B" w:rsidRPr="00883AD4" w:rsidRDefault="00432F5B">
      <w:pPr>
        <w:rPr>
          <w:rFonts w:ascii="Arial Narrow" w:hAnsi="Arial Narrow" w:cs="Arial"/>
          <w:sz w:val="24"/>
          <w:szCs w:val="24"/>
        </w:rPr>
      </w:pPr>
    </w:p>
    <w:p w14:paraId="051CB64F" w14:textId="77777777" w:rsidR="007526BD" w:rsidRPr="007526BD" w:rsidRDefault="007526BD" w:rsidP="007526BD">
      <w:pPr>
        <w:rPr>
          <w:rFonts w:ascii="Arial Narrow" w:hAnsi="Arial Narrow" w:cs="Arial"/>
          <w:b/>
          <w:bCs/>
          <w:sz w:val="24"/>
          <w:szCs w:val="24"/>
        </w:rPr>
      </w:pPr>
    </w:p>
    <w:p w14:paraId="678AEC4D" w14:textId="42F67CC0" w:rsidR="007A2151" w:rsidRPr="00883AD4" w:rsidRDefault="00523305" w:rsidP="007A2151">
      <w:pPr>
        <w:pStyle w:val="ListParagraph"/>
        <w:numPr>
          <w:ilvl w:val="0"/>
          <w:numId w:val="5"/>
        </w:numPr>
        <w:rPr>
          <w:rFonts w:ascii="Arial Narrow" w:hAnsi="Arial Narrow" w:cs="Arial"/>
          <w:b/>
          <w:bCs/>
          <w:sz w:val="24"/>
          <w:szCs w:val="24"/>
        </w:rPr>
      </w:pPr>
      <w:r w:rsidRPr="00883AD4">
        <w:rPr>
          <w:rFonts w:ascii="Arial Narrow" w:hAnsi="Arial Narrow" w:cs="Arial"/>
          <w:b/>
          <w:bCs/>
          <w:sz w:val="24"/>
          <w:szCs w:val="24"/>
        </w:rPr>
        <w:t>B</w:t>
      </w:r>
      <w:r w:rsidR="007A2151" w:rsidRPr="00883AD4">
        <w:rPr>
          <w:rFonts w:ascii="Arial Narrow" w:hAnsi="Arial Narrow" w:cs="Arial"/>
          <w:b/>
          <w:bCs/>
          <w:sz w:val="24"/>
          <w:szCs w:val="24"/>
        </w:rPr>
        <w:t xml:space="preserve">etter </w:t>
      </w:r>
      <w:r w:rsidR="000D0373" w:rsidRPr="00883AD4">
        <w:rPr>
          <w:rFonts w:ascii="Arial Narrow" w:hAnsi="Arial Narrow" w:cs="Arial"/>
          <w:b/>
          <w:bCs/>
          <w:sz w:val="24"/>
          <w:szCs w:val="24"/>
        </w:rPr>
        <w:t>implementation of law</w:t>
      </w:r>
    </w:p>
    <w:p w14:paraId="41F1EACC" w14:textId="5A070FC0" w:rsidR="007A2151" w:rsidRPr="00883AD4" w:rsidRDefault="007A2151" w:rsidP="007A2151">
      <w:pPr>
        <w:rPr>
          <w:rFonts w:ascii="Arial Narrow" w:hAnsi="Arial Narrow" w:cs="Arial"/>
          <w:sz w:val="24"/>
          <w:szCs w:val="24"/>
        </w:rPr>
      </w:pPr>
      <w:r w:rsidRPr="00883AD4">
        <w:rPr>
          <w:rFonts w:ascii="Arial Narrow" w:hAnsi="Arial Narrow" w:cs="Arial"/>
          <w:sz w:val="24"/>
          <w:szCs w:val="24"/>
        </w:rPr>
        <w:t>Parliament makes laws for everyone, but how the law will be applied, particularly across such a wide range of services and changing circumstances, is necessarily uncertain and shifts over time. Courts can therefore ensure accountability for any ways in which the law as applied falls short and thus impacts fundamental human rights. This impact could be for example, on individuals who are particularly vulnerable, or who are facing multiple and overlapping forms of discrimination or disadvantage.</w:t>
      </w:r>
      <w:r w:rsidR="000D0373" w:rsidRPr="00883AD4">
        <w:rPr>
          <w:rFonts w:ascii="Arial Narrow" w:hAnsi="Arial Narrow" w:cs="Arial"/>
          <w:sz w:val="24"/>
          <w:szCs w:val="24"/>
        </w:rPr>
        <w:t xml:space="preserve"> The impact on the individuals may never have been the intention of the legislature, but how the law has been implemented has had the effect of infringing upon an individual’s fundamental rights.  We consider that in these </w:t>
      </w:r>
      <w:r w:rsidR="000D0373" w:rsidRPr="00883AD4">
        <w:rPr>
          <w:rFonts w:ascii="Arial Narrow" w:hAnsi="Arial Narrow" w:cs="Arial"/>
          <w:b/>
          <w:bCs/>
          <w:sz w:val="24"/>
          <w:szCs w:val="24"/>
        </w:rPr>
        <w:t>details of implementation</w:t>
      </w:r>
      <w:r w:rsidR="002B7BC5" w:rsidRPr="00883AD4">
        <w:rPr>
          <w:rFonts w:ascii="Arial Narrow" w:hAnsi="Arial Narrow" w:cs="Arial"/>
          <w:sz w:val="24"/>
          <w:szCs w:val="24"/>
        </w:rPr>
        <w:t xml:space="preserve">, </w:t>
      </w:r>
      <w:r w:rsidR="000D0373" w:rsidRPr="00883AD4">
        <w:rPr>
          <w:rFonts w:ascii="Arial Narrow" w:hAnsi="Arial Narrow" w:cs="Arial"/>
          <w:sz w:val="24"/>
          <w:szCs w:val="24"/>
        </w:rPr>
        <w:t>the court</w:t>
      </w:r>
      <w:r w:rsidR="00C579F8">
        <w:rPr>
          <w:rFonts w:ascii="Arial Narrow" w:hAnsi="Arial Narrow" w:cs="Arial"/>
          <w:sz w:val="24"/>
          <w:szCs w:val="24"/>
        </w:rPr>
        <w:t>s</w:t>
      </w:r>
      <w:r w:rsidR="000D0373" w:rsidRPr="00883AD4">
        <w:rPr>
          <w:rFonts w:ascii="Arial Narrow" w:hAnsi="Arial Narrow" w:cs="Arial"/>
          <w:sz w:val="24"/>
          <w:szCs w:val="24"/>
        </w:rPr>
        <w:t xml:space="preserve"> can often have a very positive role</w:t>
      </w:r>
      <w:r w:rsidR="00C579F8">
        <w:rPr>
          <w:rFonts w:ascii="Arial Narrow" w:hAnsi="Arial Narrow" w:cs="Arial"/>
          <w:sz w:val="24"/>
          <w:szCs w:val="24"/>
        </w:rPr>
        <w:t xml:space="preserve"> that sits alongside that of the legislature</w:t>
      </w:r>
      <w:r w:rsidR="002B7BC5" w:rsidRPr="00883AD4">
        <w:rPr>
          <w:rFonts w:ascii="Arial Narrow" w:hAnsi="Arial Narrow" w:cs="Arial"/>
          <w:sz w:val="24"/>
          <w:szCs w:val="24"/>
        </w:rPr>
        <w:t xml:space="preserve"> – the courts do not veer off from t</w:t>
      </w:r>
      <w:r w:rsidR="000D0373" w:rsidRPr="00883AD4">
        <w:rPr>
          <w:rFonts w:ascii="Arial Narrow" w:hAnsi="Arial Narrow" w:cs="Arial"/>
          <w:sz w:val="24"/>
          <w:szCs w:val="24"/>
        </w:rPr>
        <w:t xml:space="preserve">he legislature’s overall </w:t>
      </w:r>
      <w:proofErr w:type="gramStart"/>
      <w:r w:rsidR="000D0373" w:rsidRPr="00883AD4">
        <w:rPr>
          <w:rFonts w:ascii="Arial Narrow" w:hAnsi="Arial Narrow" w:cs="Arial"/>
          <w:sz w:val="24"/>
          <w:szCs w:val="24"/>
        </w:rPr>
        <w:t>intention</w:t>
      </w:r>
      <w:proofErr w:type="gramEnd"/>
      <w:r w:rsidR="000D0373" w:rsidRPr="00883AD4">
        <w:rPr>
          <w:rFonts w:ascii="Arial Narrow" w:hAnsi="Arial Narrow" w:cs="Arial"/>
          <w:sz w:val="24"/>
          <w:szCs w:val="24"/>
        </w:rPr>
        <w:t xml:space="preserve"> but </w:t>
      </w:r>
      <w:r w:rsidR="002B7BC5" w:rsidRPr="00883AD4">
        <w:rPr>
          <w:rFonts w:ascii="Arial Narrow" w:hAnsi="Arial Narrow" w:cs="Arial"/>
          <w:sz w:val="24"/>
          <w:szCs w:val="24"/>
        </w:rPr>
        <w:t>they can ensure that unintended and unexpected impacts on individuals can be properly taken into account.</w:t>
      </w:r>
    </w:p>
    <w:p w14:paraId="0339F288" w14:textId="1A2511A1" w:rsidR="007A2151" w:rsidRDefault="007526BD">
      <w:pPr>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9776" behindDoc="0" locked="0" layoutInCell="1" allowOverlap="1" wp14:anchorId="0785F369" wp14:editId="1B2208AF">
                <wp:simplePos x="0" y="0"/>
                <wp:positionH relativeFrom="margin">
                  <wp:align>center</wp:align>
                </wp:positionH>
                <wp:positionV relativeFrom="paragraph">
                  <wp:posOffset>248285</wp:posOffset>
                </wp:positionV>
                <wp:extent cx="6477000" cy="20320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6477000" cy="2032000"/>
                        </a:xfrm>
                        <a:prstGeom prst="rect">
                          <a:avLst/>
                        </a:prstGeom>
                        <a:solidFill>
                          <a:schemeClr val="lt1"/>
                        </a:solidFill>
                        <a:ln w="6350">
                          <a:solidFill>
                            <a:prstClr val="black"/>
                          </a:solidFill>
                        </a:ln>
                      </wps:spPr>
                      <wps:txbx>
                        <w:txbxContent>
                          <w:p w14:paraId="5C5D16DC" w14:textId="6182D62F" w:rsidR="00CA011A" w:rsidRPr="009D1CA0" w:rsidRDefault="00CA011A" w:rsidP="00CA011A">
                            <w:pPr>
                              <w:pStyle w:val="css-puzfbd"/>
                              <w:shd w:val="clear" w:color="auto" w:fill="FFFFFF"/>
                              <w:spacing w:before="0" w:beforeAutospacing="0" w:after="240" w:afterAutospacing="0"/>
                              <w:textAlignment w:val="baseline"/>
                              <w:rPr>
                                <w:rFonts w:ascii="Arial Narrow" w:hAnsi="Arial Narrow"/>
                                <w:b/>
                                <w:bCs/>
                                <w:color w:val="121212"/>
                              </w:rPr>
                            </w:pPr>
                            <w:r w:rsidRPr="009D1CA0">
                              <w:rPr>
                                <w:rFonts w:ascii="Arial Narrow" w:hAnsi="Arial Narrow"/>
                                <w:b/>
                                <w:bCs/>
                                <w:color w:val="121212"/>
                              </w:rPr>
                              <w:t>Example: the bedroom tax</w:t>
                            </w:r>
                          </w:p>
                          <w:p w14:paraId="04C0298A" w14:textId="380C1B72" w:rsidR="00F77F59" w:rsidRPr="00F77F59" w:rsidRDefault="00E92B4D" w:rsidP="00DD769C">
                            <w:pPr>
                              <w:pStyle w:val="css-puzfbd"/>
                              <w:shd w:val="clear" w:color="auto" w:fill="FFFFFF"/>
                              <w:spacing w:before="0" w:beforeAutospacing="0" w:after="0" w:afterAutospacing="0"/>
                              <w:textAlignment w:val="baseline"/>
                              <w:rPr>
                                <w:rFonts w:ascii="Arial Narrow" w:hAnsi="Arial Narrow"/>
                                <w:color w:val="121212"/>
                              </w:rPr>
                            </w:pPr>
                            <w:r w:rsidRPr="00CB1088">
                              <w:rPr>
                                <w:rFonts w:ascii="Arial Narrow" w:hAnsi="Arial Narrow"/>
                                <w:color w:val="121212"/>
                              </w:rPr>
                              <w:t xml:space="preserve">The </w:t>
                            </w:r>
                            <w:r w:rsidR="00A8480F" w:rsidRPr="00CB1088">
                              <w:rPr>
                                <w:rFonts w:ascii="Arial Narrow" w:hAnsi="Arial Narrow"/>
                                <w:color w:val="121212"/>
                              </w:rPr>
                              <w:t xml:space="preserve">blanket application of the </w:t>
                            </w:r>
                            <w:r w:rsidRPr="00CB1088">
                              <w:rPr>
                                <w:rFonts w:ascii="Arial Narrow" w:hAnsi="Arial Narrow"/>
                                <w:color w:val="121212"/>
                              </w:rPr>
                              <w:t>bedroom tax</w:t>
                            </w:r>
                            <w:r w:rsidR="0081337E" w:rsidRPr="00CB1088">
                              <w:rPr>
                                <w:rFonts w:ascii="Arial Narrow" w:hAnsi="Arial Narrow"/>
                                <w:color w:val="121212"/>
                              </w:rPr>
                              <w:t xml:space="preserve"> </w:t>
                            </w:r>
                            <w:r w:rsidR="00A8480F" w:rsidRPr="00CB1088">
                              <w:rPr>
                                <w:rFonts w:ascii="Arial Narrow" w:hAnsi="Arial Narrow"/>
                                <w:color w:val="121212"/>
                              </w:rPr>
                              <w:t xml:space="preserve">led to disadvantage </w:t>
                            </w:r>
                            <w:r w:rsidR="009D1CA0">
                              <w:rPr>
                                <w:rFonts w:ascii="Arial Narrow" w:hAnsi="Arial Narrow"/>
                                <w:color w:val="121212"/>
                              </w:rPr>
                              <w:t>for</w:t>
                            </w:r>
                            <w:r w:rsidR="00A8480F" w:rsidRPr="00CB1088">
                              <w:rPr>
                                <w:rFonts w:ascii="Arial Narrow" w:hAnsi="Arial Narrow"/>
                                <w:color w:val="121212"/>
                              </w:rPr>
                              <w:t xml:space="preserve"> many disabled people.</w:t>
                            </w:r>
                            <w:r w:rsidR="0081337E" w:rsidRPr="00CB1088">
                              <w:rPr>
                                <w:rFonts w:ascii="Arial Narrow" w:hAnsi="Arial Narrow"/>
                                <w:color w:val="121212"/>
                              </w:rPr>
                              <w:t xml:space="preserve"> </w:t>
                            </w:r>
                            <w:r w:rsidR="006B2B84" w:rsidRPr="00CB1088">
                              <w:rPr>
                                <w:rFonts w:ascii="Arial Narrow" w:hAnsi="Arial Narrow"/>
                                <w:color w:val="121212"/>
                              </w:rPr>
                              <w:t>In a</w:t>
                            </w:r>
                            <w:r w:rsidR="00CA011A" w:rsidRPr="00CB1088">
                              <w:rPr>
                                <w:rFonts w:ascii="Arial Narrow" w:hAnsi="Arial Narrow"/>
                                <w:color w:val="121212"/>
                              </w:rPr>
                              <w:t> </w:t>
                            </w:r>
                            <w:r w:rsidR="00CA011A" w:rsidRPr="00CB1088">
                              <w:rPr>
                                <w:rFonts w:ascii="Arial Narrow" w:hAnsi="Arial Narrow"/>
                                <w:color w:val="121212"/>
                                <w:bdr w:val="none" w:sz="0" w:space="0" w:color="auto" w:frame="1"/>
                              </w:rPr>
                              <w:t>unanimous judgment</w:t>
                            </w:r>
                            <w:r w:rsidR="00CA011A" w:rsidRPr="00CB1088">
                              <w:rPr>
                                <w:rFonts w:ascii="Arial Narrow" w:hAnsi="Arial Narrow"/>
                                <w:color w:val="121212"/>
                              </w:rPr>
                              <w:t> delivered by Lady Hale</w:t>
                            </w:r>
                            <w:r w:rsidR="001B3CDF">
                              <w:rPr>
                                <w:rFonts w:ascii="Arial Narrow" w:hAnsi="Arial Narrow"/>
                                <w:color w:val="121212"/>
                              </w:rPr>
                              <w:t xml:space="preserve"> i</w:t>
                            </w:r>
                            <w:r w:rsidR="001B3CDF" w:rsidRPr="001B3CDF">
                              <w:rPr>
                                <w:rFonts w:ascii="Arial Narrow" w:hAnsi="Arial Narrow"/>
                                <w:color w:val="121212"/>
                              </w:rPr>
                              <w:t xml:space="preserve">n </w:t>
                            </w:r>
                            <w:r w:rsidR="001B3CDF" w:rsidRPr="001B3CDF">
                              <w:rPr>
                                <w:rFonts w:ascii="Arial Narrow" w:hAnsi="Arial Narrow" w:cs="Arial"/>
                                <w:i/>
                                <w:iCs/>
                                <w:color w:val="000000"/>
                              </w:rPr>
                              <w:t>RR v Secretary of State for Work and Pensions </w:t>
                            </w:r>
                            <w:r w:rsidR="001B3CDF" w:rsidRPr="001B3CDF">
                              <w:rPr>
                                <w:rFonts w:ascii="Arial Narrow" w:hAnsi="Arial Narrow" w:cs="Arial"/>
                                <w:color w:val="000000"/>
                              </w:rPr>
                              <w:t>[2019] UKSC 52</w:t>
                            </w:r>
                            <w:r w:rsidR="00CA011A" w:rsidRPr="001B3CDF">
                              <w:rPr>
                                <w:rFonts w:ascii="Arial Narrow" w:hAnsi="Arial Narrow"/>
                                <w:color w:val="121212"/>
                              </w:rPr>
                              <w:t xml:space="preserve">, </w:t>
                            </w:r>
                            <w:r w:rsidR="006B2B84" w:rsidRPr="001B3CDF">
                              <w:rPr>
                                <w:rFonts w:ascii="Arial Narrow" w:hAnsi="Arial Narrow"/>
                                <w:color w:val="121212"/>
                              </w:rPr>
                              <w:t xml:space="preserve">the </w:t>
                            </w:r>
                            <w:r w:rsidR="006B2B84" w:rsidRPr="00CB1088">
                              <w:rPr>
                                <w:rFonts w:ascii="Arial Narrow" w:hAnsi="Arial Narrow"/>
                                <w:color w:val="121212"/>
                              </w:rPr>
                              <w:t xml:space="preserve">Supreme Court </w:t>
                            </w:r>
                            <w:r w:rsidR="00CA011A" w:rsidRPr="00CB1088">
                              <w:rPr>
                                <w:rFonts w:ascii="Arial Narrow" w:hAnsi="Arial Narrow"/>
                                <w:color w:val="121212"/>
                              </w:rPr>
                              <w:t>ruled that applying a 14% housing benefit reduction to a man</w:t>
                            </w:r>
                            <w:r w:rsidR="00893B12" w:rsidRPr="00CB1088">
                              <w:rPr>
                                <w:rFonts w:ascii="Arial Narrow" w:hAnsi="Arial Narrow"/>
                                <w:color w:val="121212"/>
                              </w:rPr>
                              <w:t xml:space="preserve"> </w:t>
                            </w:r>
                            <w:r w:rsidR="00CA011A" w:rsidRPr="00CB1088">
                              <w:rPr>
                                <w:rFonts w:ascii="Arial Narrow" w:hAnsi="Arial Narrow"/>
                                <w:color w:val="121212"/>
                              </w:rPr>
                              <w:t>was a breach of his right to home under the Human Rights Act.</w:t>
                            </w:r>
                            <w:r w:rsidR="006B2B84" w:rsidRPr="00CB1088">
                              <w:rPr>
                                <w:rFonts w:ascii="Arial Narrow" w:hAnsi="Arial Narrow"/>
                                <w:color w:val="121212"/>
                              </w:rPr>
                              <w:t xml:space="preserve"> </w:t>
                            </w:r>
                            <w:r w:rsidR="00893B12" w:rsidRPr="00CB1088">
                              <w:rPr>
                                <w:rFonts w:ascii="Arial Narrow" w:hAnsi="Arial Narrow"/>
                                <w:color w:val="121212"/>
                              </w:rPr>
                              <w:t>The man’s</w:t>
                            </w:r>
                            <w:r w:rsidR="00CA011A" w:rsidRPr="00CB1088">
                              <w:rPr>
                                <w:rFonts w:ascii="Arial Narrow" w:hAnsi="Arial Narrow"/>
                                <w:color w:val="121212"/>
                              </w:rPr>
                              <w:t xml:space="preserve"> partner </w:t>
                            </w:r>
                            <w:r w:rsidR="00DD769C" w:rsidRPr="00CB1088">
                              <w:rPr>
                                <w:rFonts w:ascii="Arial Narrow" w:hAnsi="Arial Narrow"/>
                                <w:color w:val="121212"/>
                              </w:rPr>
                              <w:t>was</w:t>
                            </w:r>
                            <w:r w:rsidR="00CA011A" w:rsidRPr="00CB1088">
                              <w:rPr>
                                <w:rFonts w:ascii="Arial Narrow" w:hAnsi="Arial Narrow"/>
                                <w:color w:val="121212"/>
                              </w:rPr>
                              <w:t xml:space="preserve"> severel</w:t>
                            </w:r>
                            <w:r w:rsidR="00893B12" w:rsidRPr="00CB1088">
                              <w:rPr>
                                <w:rFonts w:ascii="Arial Narrow" w:hAnsi="Arial Narrow"/>
                                <w:color w:val="121212"/>
                              </w:rPr>
                              <w:t xml:space="preserve">y </w:t>
                            </w:r>
                            <w:r w:rsidR="00CA011A" w:rsidRPr="00CB1088">
                              <w:rPr>
                                <w:rFonts w:ascii="Arial Narrow" w:hAnsi="Arial Narrow"/>
                                <w:color w:val="121212"/>
                              </w:rPr>
                              <w:t xml:space="preserve">disabled </w:t>
                            </w:r>
                            <w:r w:rsidR="00DD769C" w:rsidRPr="00CB1088">
                              <w:rPr>
                                <w:rFonts w:ascii="Arial Narrow" w:hAnsi="Arial Narrow"/>
                                <w:color w:val="121212"/>
                              </w:rPr>
                              <w:t xml:space="preserve">and the </w:t>
                            </w:r>
                            <w:r w:rsidR="00CA011A" w:rsidRPr="00CB1088">
                              <w:rPr>
                                <w:rFonts w:ascii="Arial Narrow" w:hAnsi="Arial Narrow"/>
                                <w:color w:val="121212"/>
                              </w:rPr>
                              <w:t>couple need</w:t>
                            </w:r>
                            <w:r w:rsidR="00DD769C" w:rsidRPr="00CB1088">
                              <w:rPr>
                                <w:rFonts w:ascii="Arial Narrow" w:hAnsi="Arial Narrow"/>
                                <w:color w:val="121212"/>
                              </w:rPr>
                              <w:t>ed</w:t>
                            </w:r>
                            <w:r w:rsidR="00CA011A" w:rsidRPr="00CB1088">
                              <w:rPr>
                                <w:rFonts w:ascii="Arial Narrow" w:hAnsi="Arial Narrow"/>
                                <w:color w:val="121212"/>
                              </w:rPr>
                              <w:t xml:space="preserve"> an extra bedroom for her medical equipment.</w:t>
                            </w:r>
                            <w:r w:rsidR="00DD769C" w:rsidRPr="00CB1088">
                              <w:rPr>
                                <w:rFonts w:ascii="Arial Narrow" w:hAnsi="Arial Narrow"/>
                                <w:color w:val="121212"/>
                              </w:rPr>
                              <w:t xml:space="preserve"> </w:t>
                            </w:r>
                            <w:r w:rsidR="00F77F59" w:rsidRPr="00F77F59">
                              <w:rPr>
                                <w:rFonts w:ascii="Arial Narrow" w:hAnsi="Arial Narrow"/>
                                <w:color w:val="121212"/>
                              </w:rPr>
                              <w:t>The ruling restore</w:t>
                            </w:r>
                            <w:r w:rsidR="00DD769C" w:rsidRPr="00CB1088">
                              <w:rPr>
                                <w:rFonts w:ascii="Arial Narrow" w:hAnsi="Arial Narrow"/>
                                <w:color w:val="121212"/>
                              </w:rPr>
                              <w:t>d</w:t>
                            </w:r>
                            <w:r w:rsidR="00F77F59" w:rsidRPr="00F77F59">
                              <w:rPr>
                                <w:rFonts w:ascii="Arial Narrow" w:hAnsi="Arial Narrow"/>
                                <w:color w:val="121212"/>
                              </w:rPr>
                              <w:t xml:space="preserve"> full housing benefit to at least 155 partners of disabled people who were also subjected to the bedroom tax before rules changed in 2017.</w:t>
                            </w:r>
                          </w:p>
                          <w:p w14:paraId="19C44C60" w14:textId="360C931B" w:rsidR="00F77F59" w:rsidRPr="00F77F59" w:rsidRDefault="00C826FB" w:rsidP="00F77F59">
                            <w:pPr>
                              <w:shd w:val="clear" w:color="auto" w:fill="FFFFFF"/>
                              <w:spacing w:after="240" w:line="240" w:lineRule="auto"/>
                              <w:textAlignment w:val="baseline"/>
                              <w:rPr>
                                <w:rFonts w:ascii="Arial Narrow" w:eastAsia="Times New Roman" w:hAnsi="Arial Narrow" w:cs="Times New Roman"/>
                                <w:color w:val="121212"/>
                                <w:sz w:val="24"/>
                                <w:szCs w:val="24"/>
                                <w:lang w:eastAsia="en-GB"/>
                              </w:rPr>
                            </w:pPr>
                            <w:r w:rsidRPr="00CB1088">
                              <w:rPr>
                                <w:rFonts w:ascii="Arial Narrow" w:eastAsia="Times New Roman" w:hAnsi="Arial Narrow" w:cs="Times New Roman"/>
                                <w:color w:val="121212"/>
                                <w:sz w:val="24"/>
                                <w:szCs w:val="24"/>
                                <w:lang w:eastAsia="en-GB"/>
                              </w:rPr>
                              <w:t xml:space="preserve">Notably, </w:t>
                            </w:r>
                            <w:r w:rsidR="003C4D8C" w:rsidRPr="00CB1088">
                              <w:rPr>
                                <w:rFonts w:ascii="Arial Narrow" w:eastAsia="Times New Roman" w:hAnsi="Arial Narrow" w:cs="Times New Roman"/>
                                <w:color w:val="121212"/>
                                <w:sz w:val="24"/>
                                <w:szCs w:val="24"/>
                                <w:lang w:eastAsia="en-GB"/>
                              </w:rPr>
                              <w:t xml:space="preserve">one case can avoid many people having to experience the same rights infringement – in this case there were at least </w:t>
                            </w:r>
                            <w:r w:rsidR="00F77F59" w:rsidRPr="00F77F59">
                              <w:rPr>
                                <w:rFonts w:ascii="Arial Narrow" w:eastAsia="Times New Roman" w:hAnsi="Arial Narrow" w:cs="Times New Roman"/>
                                <w:color w:val="121212"/>
                                <w:sz w:val="24"/>
                                <w:szCs w:val="24"/>
                                <w:lang w:eastAsia="en-GB"/>
                              </w:rPr>
                              <w:t>130 “lookalike cases” in England and Wales</w:t>
                            </w:r>
                            <w:r w:rsidR="00561682" w:rsidRPr="00CB1088">
                              <w:rPr>
                                <w:rFonts w:ascii="Arial Narrow" w:eastAsia="Times New Roman" w:hAnsi="Arial Narrow" w:cs="Times New Roman"/>
                                <w:color w:val="121212"/>
                                <w:sz w:val="24"/>
                                <w:szCs w:val="24"/>
                                <w:lang w:eastAsia="en-GB"/>
                              </w:rPr>
                              <w:t>, approx</w:t>
                            </w:r>
                            <w:r w:rsidR="00CB1088" w:rsidRPr="00CB1088">
                              <w:rPr>
                                <w:rFonts w:ascii="Arial Narrow" w:eastAsia="Times New Roman" w:hAnsi="Arial Narrow" w:cs="Times New Roman"/>
                                <w:color w:val="121212"/>
                                <w:sz w:val="24"/>
                                <w:szCs w:val="24"/>
                                <w:lang w:eastAsia="en-GB"/>
                              </w:rPr>
                              <w:t>imately</w:t>
                            </w:r>
                            <w:r w:rsidR="00561682" w:rsidRPr="00CB1088">
                              <w:rPr>
                                <w:rFonts w:ascii="Arial Narrow" w:eastAsia="Times New Roman" w:hAnsi="Arial Narrow" w:cs="Times New Roman"/>
                                <w:color w:val="121212"/>
                                <w:sz w:val="24"/>
                                <w:szCs w:val="24"/>
                                <w:lang w:eastAsia="en-GB"/>
                              </w:rPr>
                              <w:t xml:space="preserve"> 25 </w:t>
                            </w:r>
                            <w:r w:rsidR="00CB1088" w:rsidRPr="00CB1088">
                              <w:rPr>
                                <w:rFonts w:ascii="Arial Narrow" w:eastAsia="Times New Roman" w:hAnsi="Arial Narrow" w:cs="Times New Roman"/>
                                <w:color w:val="121212"/>
                                <w:sz w:val="24"/>
                                <w:szCs w:val="24"/>
                                <w:lang w:eastAsia="en-GB"/>
                              </w:rPr>
                              <w:t xml:space="preserve">more </w:t>
                            </w:r>
                            <w:r w:rsidR="00561682" w:rsidRPr="00CB1088">
                              <w:rPr>
                                <w:rFonts w:ascii="Arial Narrow" w:eastAsia="Times New Roman" w:hAnsi="Arial Narrow" w:cs="Times New Roman"/>
                                <w:color w:val="121212"/>
                                <w:sz w:val="24"/>
                                <w:szCs w:val="24"/>
                                <w:lang w:eastAsia="en-GB"/>
                              </w:rPr>
                              <w:t xml:space="preserve">in Scotland and many more that were never taken to tribunal. </w:t>
                            </w:r>
                          </w:p>
                          <w:p w14:paraId="2A4DCE0F" w14:textId="4A14427D" w:rsidR="00CA011A" w:rsidRDefault="00CA011A"/>
                          <w:p w14:paraId="064794F3" w14:textId="0329D219" w:rsidR="00CA011A" w:rsidRDefault="00CA011A"/>
                          <w:p w14:paraId="766DB5D0" w14:textId="77777777" w:rsidR="00CA011A" w:rsidRDefault="00CA0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F369" id="Text Box 7" o:spid="_x0000_s1030" type="#_x0000_t202" style="position:absolute;margin-left:0;margin-top:19.55pt;width:510pt;height:160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ccTgIAAKkEAAAOAAAAZHJzL2Uyb0RvYy54bWysVE1vGjEQvVfqf7B8L7sQElLEEtFEVJVQ&#10;EimpcjZeb1jV63Ftwy799X02H4G0p6oX73z5eebNzE5uukazjXK+JlPwfi/nTBlJZW1eC/79ef7p&#10;mjMfhCmFJqMKvlWe30w/fpi0dqwGtCJdKscAYvy4tQVfhWDHWeblSjXC98gqA2dFrhEBqnvNSida&#10;oDc6G+T5VdaSK60jqbyH9W7n5NOEX1VKhoeq8iowXXDkFtLp0rmMZzadiPGrE3ZVy30a4h+yaERt&#10;8OgR6k4Ewdau/gOqqaUjT1XoSWoyqqpaqlQDqunn76p5WgmrUi0gx9sjTf7/wcr7zaNjdVnwEWdG&#10;NGjRs+oC+0IdG0V2WuvHCHqyCAsdzOjywe5hjEV3lWviF+Uw+MHz9shtBJMwXg1HozyHS8I3yC/Q&#10;vMR+9nbdOh++KmpYFAru0LzEqdgsfEAqCD2ExNc86bqc11onJQ6MutWObQRarUNKEjfOorRhLVK5&#10;uMwT8JkvQh/vL7WQP2KZ5wjQtIExkrIrPkqhW3aJwuGBmCWVW/DlaDdv3sp5DfiF8OFROAwYeMDS&#10;hAcclSbkRHuJsxW5X3+zx3j0HV7OWgxswf3PtXCKM/3NYCI+94fDOOFJGV6OBlDcqWd56jHr5pZA&#10;VB/raWUSY3zQB7Fy1Lxgt2bxVbiEkXi74OEg3obdGmE3pZrNUhBm2oqwME9WRujYmEjrc/cinN23&#10;NWAi7ukw2mL8rru72HjT0GwdqKpT6yPPO1b39GMfUnf2uxsX7lRPUW9/mOlvAAAA//8DAFBLAwQU&#10;AAYACAAAACEAqoidbdkAAAAIAQAADwAAAGRycy9kb3ducmV2LnhtbEyPwU7DMBBE70j8g7VI3KhT&#10;ECgNcSpAhQsnWsR5G7u2RbyObDcNf8/2BMedWc28addzGMRkUvaRFCwXFQhDfdSerILP3etNDSIX&#10;JI1DJKPgx2RYd5cXLTY6nujDTNtiBYdQblCBK2VspMy9MwHzIo6G2DvEFLDwmazUCU8cHgZ5W1UP&#10;MqAnbnA4mhdn+u/tMSjYPNuV7WtMblNr76f56/Bu35S6vpqfHkEUM5e/ZzjjMzp0zLSPR9JZDAp4&#10;SFFwt1qCOLsVt4HYs3LPkuxa+X9A9wsAAP//AwBQSwECLQAUAAYACAAAACEAtoM4kv4AAADhAQAA&#10;EwAAAAAAAAAAAAAAAAAAAAAAW0NvbnRlbnRfVHlwZXNdLnhtbFBLAQItABQABgAIAAAAIQA4/SH/&#10;1gAAAJQBAAALAAAAAAAAAAAAAAAAAC8BAABfcmVscy8ucmVsc1BLAQItABQABgAIAAAAIQCBuVcc&#10;TgIAAKkEAAAOAAAAAAAAAAAAAAAAAC4CAABkcnMvZTJvRG9jLnhtbFBLAQItABQABgAIAAAAIQCq&#10;iJ1t2QAAAAgBAAAPAAAAAAAAAAAAAAAAAKgEAABkcnMvZG93bnJldi54bWxQSwUGAAAAAAQABADz&#10;AAAArgUAAAAA&#10;" fillcolor="white [3201]" strokeweight=".5pt">
                <v:textbox>
                  <w:txbxContent>
                    <w:p w14:paraId="5C5D16DC" w14:textId="6182D62F" w:rsidR="00CA011A" w:rsidRPr="009D1CA0" w:rsidRDefault="00CA011A" w:rsidP="00CA011A">
                      <w:pPr>
                        <w:pStyle w:val="css-puzfbd"/>
                        <w:shd w:val="clear" w:color="auto" w:fill="FFFFFF"/>
                        <w:spacing w:before="0" w:beforeAutospacing="0" w:after="240" w:afterAutospacing="0"/>
                        <w:textAlignment w:val="baseline"/>
                        <w:rPr>
                          <w:rFonts w:ascii="Arial Narrow" w:hAnsi="Arial Narrow"/>
                          <w:b/>
                          <w:bCs/>
                          <w:color w:val="121212"/>
                        </w:rPr>
                      </w:pPr>
                      <w:r w:rsidRPr="009D1CA0">
                        <w:rPr>
                          <w:rFonts w:ascii="Arial Narrow" w:hAnsi="Arial Narrow"/>
                          <w:b/>
                          <w:bCs/>
                          <w:color w:val="121212"/>
                        </w:rPr>
                        <w:t>Example: the bedroom tax</w:t>
                      </w:r>
                    </w:p>
                    <w:p w14:paraId="04C0298A" w14:textId="380C1B72" w:rsidR="00F77F59" w:rsidRPr="00F77F59" w:rsidRDefault="00E92B4D" w:rsidP="00DD769C">
                      <w:pPr>
                        <w:pStyle w:val="css-puzfbd"/>
                        <w:shd w:val="clear" w:color="auto" w:fill="FFFFFF"/>
                        <w:spacing w:before="0" w:beforeAutospacing="0" w:after="0" w:afterAutospacing="0"/>
                        <w:textAlignment w:val="baseline"/>
                        <w:rPr>
                          <w:rFonts w:ascii="Arial Narrow" w:hAnsi="Arial Narrow"/>
                          <w:color w:val="121212"/>
                        </w:rPr>
                      </w:pPr>
                      <w:r w:rsidRPr="00CB1088">
                        <w:rPr>
                          <w:rFonts w:ascii="Arial Narrow" w:hAnsi="Arial Narrow"/>
                          <w:color w:val="121212"/>
                        </w:rPr>
                        <w:t xml:space="preserve">The </w:t>
                      </w:r>
                      <w:r w:rsidR="00A8480F" w:rsidRPr="00CB1088">
                        <w:rPr>
                          <w:rFonts w:ascii="Arial Narrow" w:hAnsi="Arial Narrow"/>
                          <w:color w:val="121212"/>
                        </w:rPr>
                        <w:t xml:space="preserve">blanket application of the </w:t>
                      </w:r>
                      <w:r w:rsidRPr="00CB1088">
                        <w:rPr>
                          <w:rFonts w:ascii="Arial Narrow" w:hAnsi="Arial Narrow"/>
                          <w:color w:val="121212"/>
                        </w:rPr>
                        <w:t>bedroom tax</w:t>
                      </w:r>
                      <w:r w:rsidR="0081337E" w:rsidRPr="00CB1088">
                        <w:rPr>
                          <w:rFonts w:ascii="Arial Narrow" w:hAnsi="Arial Narrow"/>
                          <w:color w:val="121212"/>
                        </w:rPr>
                        <w:t xml:space="preserve"> </w:t>
                      </w:r>
                      <w:r w:rsidR="00A8480F" w:rsidRPr="00CB1088">
                        <w:rPr>
                          <w:rFonts w:ascii="Arial Narrow" w:hAnsi="Arial Narrow"/>
                          <w:color w:val="121212"/>
                        </w:rPr>
                        <w:t xml:space="preserve">led to disadvantage </w:t>
                      </w:r>
                      <w:r w:rsidR="009D1CA0">
                        <w:rPr>
                          <w:rFonts w:ascii="Arial Narrow" w:hAnsi="Arial Narrow"/>
                          <w:color w:val="121212"/>
                        </w:rPr>
                        <w:t>for</w:t>
                      </w:r>
                      <w:r w:rsidR="00A8480F" w:rsidRPr="00CB1088">
                        <w:rPr>
                          <w:rFonts w:ascii="Arial Narrow" w:hAnsi="Arial Narrow"/>
                          <w:color w:val="121212"/>
                        </w:rPr>
                        <w:t xml:space="preserve"> many disabled people.</w:t>
                      </w:r>
                      <w:r w:rsidR="0081337E" w:rsidRPr="00CB1088">
                        <w:rPr>
                          <w:rFonts w:ascii="Arial Narrow" w:hAnsi="Arial Narrow"/>
                          <w:color w:val="121212"/>
                        </w:rPr>
                        <w:t xml:space="preserve"> </w:t>
                      </w:r>
                      <w:r w:rsidR="006B2B84" w:rsidRPr="00CB1088">
                        <w:rPr>
                          <w:rFonts w:ascii="Arial Narrow" w:hAnsi="Arial Narrow"/>
                          <w:color w:val="121212"/>
                        </w:rPr>
                        <w:t>In a</w:t>
                      </w:r>
                      <w:r w:rsidR="00CA011A" w:rsidRPr="00CB1088">
                        <w:rPr>
                          <w:rFonts w:ascii="Arial Narrow" w:hAnsi="Arial Narrow"/>
                          <w:color w:val="121212"/>
                        </w:rPr>
                        <w:t> </w:t>
                      </w:r>
                      <w:r w:rsidR="00CA011A" w:rsidRPr="00CB1088">
                        <w:rPr>
                          <w:rFonts w:ascii="Arial Narrow" w:hAnsi="Arial Narrow"/>
                          <w:color w:val="121212"/>
                          <w:bdr w:val="none" w:sz="0" w:space="0" w:color="auto" w:frame="1"/>
                        </w:rPr>
                        <w:t>unanimous judgment</w:t>
                      </w:r>
                      <w:r w:rsidR="00CA011A" w:rsidRPr="00CB1088">
                        <w:rPr>
                          <w:rFonts w:ascii="Arial Narrow" w:hAnsi="Arial Narrow"/>
                          <w:color w:val="121212"/>
                        </w:rPr>
                        <w:t> delivered by Lady Hale</w:t>
                      </w:r>
                      <w:r w:rsidR="001B3CDF">
                        <w:rPr>
                          <w:rFonts w:ascii="Arial Narrow" w:hAnsi="Arial Narrow"/>
                          <w:color w:val="121212"/>
                        </w:rPr>
                        <w:t xml:space="preserve"> i</w:t>
                      </w:r>
                      <w:r w:rsidR="001B3CDF" w:rsidRPr="001B3CDF">
                        <w:rPr>
                          <w:rFonts w:ascii="Arial Narrow" w:hAnsi="Arial Narrow"/>
                          <w:color w:val="121212"/>
                        </w:rPr>
                        <w:t xml:space="preserve">n </w:t>
                      </w:r>
                      <w:r w:rsidR="001B3CDF" w:rsidRPr="001B3CDF">
                        <w:rPr>
                          <w:rFonts w:ascii="Arial Narrow" w:hAnsi="Arial Narrow" w:cs="Arial"/>
                          <w:i/>
                          <w:iCs/>
                          <w:color w:val="000000"/>
                        </w:rPr>
                        <w:t>RR v Secretary of State for Work and Pensions </w:t>
                      </w:r>
                      <w:r w:rsidR="001B3CDF" w:rsidRPr="001B3CDF">
                        <w:rPr>
                          <w:rFonts w:ascii="Arial Narrow" w:hAnsi="Arial Narrow" w:cs="Arial"/>
                          <w:color w:val="000000"/>
                        </w:rPr>
                        <w:t>[2019] UKSC 52</w:t>
                      </w:r>
                      <w:r w:rsidR="00CA011A" w:rsidRPr="001B3CDF">
                        <w:rPr>
                          <w:rFonts w:ascii="Arial Narrow" w:hAnsi="Arial Narrow"/>
                          <w:color w:val="121212"/>
                        </w:rPr>
                        <w:t xml:space="preserve">, </w:t>
                      </w:r>
                      <w:r w:rsidR="006B2B84" w:rsidRPr="001B3CDF">
                        <w:rPr>
                          <w:rFonts w:ascii="Arial Narrow" w:hAnsi="Arial Narrow"/>
                          <w:color w:val="121212"/>
                        </w:rPr>
                        <w:t xml:space="preserve">the </w:t>
                      </w:r>
                      <w:r w:rsidR="006B2B84" w:rsidRPr="00CB1088">
                        <w:rPr>
                          <w:rFonts w:ascii="Arial Narrow" w:hAnsi="Arial Narrow"/>
                          <w:color w:val="121212"/>
                        </w:rPr>
                        <w:t xml:space="preserve">Supreme Court </w:t>
                      </w:r>
                      <w:r w:rsidR="00CA011A" w:rsidRPr="00CB1088">
                        <w:rPr>
                          <w:rFonts w:ascii="Arial Narrow" w:hAnsi="Arial Narrow"/>
                          <w:color w:val="121212"/>
                        </w:rPr>
                        <w:t>ruled that applying a 14% housing benefit reduction to a man</w:t>
                      </w:r>
                      <w:r w:rsidR="00893B12" w:rsidRPr="00CB1088">
                        <w:rPr>
                          <w:rFonts w:ascii="Arial Narrow" w:hAnsi="Arial Narrow"/>
                          <w:color w:val="121212"/>
                        </w:rPr>
                        <w:t xml:space="preserve"> </w:t>
                      </w:r>
                      <w:r w:rsidR="00CA011A" w:rsidRPr="00CB1088">
                        <w:rPr>
                          <w:rFonts w:ascii="Arial Narrow" w:hAnsi="Arial Narrow"/>
                          <w:color w:val="121212"/>
                        </w:rPr>
                        <w:t>was a breach of his right to home under the Human Rights Act.</w:t>
                      </w:r>
                      <w:r w:rsidR="006B2B84" w:rsidRPr="00CB1088">
                        <w:rPr>
                          <w:rFonts w:ascii="Arial Narrow" w:hAnsi="Arial Narrow"/>
                          <w:color w:val="121212"/>
                        </w:rPr>
                        <w:t xml:space="preserve"> </w:t>
                      </w:r>
                      <w:r w:rsidR="00893B12" w:rsidRPr="00CB1088">
                        <w:rPr>
                          <w:rFonts w:ascii="Arial Narrow" w:hAnsi="Arial Narrow"/>
                          <w:color w:val="121212"/>
                        </w:rPr>
                        <w:t>The man’s</w:t>
                      </w:r>
                      <w:r w:rsidR="00CA011A" w:rsidRPr="00CB1088">
                        <w:rPr>
                          <w:rFonts w:ascii="Arial Narrow" w:hAnsi="Arial Narrow"/>
                          <w:color w:val="121212"/>
                        </w:rPr>
                        <w:t xml:space="preserve"> partner </w:t>
                      </w:r>
                      <w:r w:rsidR="00DD769C" w:rsidRPr="00CB1088">
                        <w:rPr>
                          <w:rFonts w:ascii="Arial Narrow" w:hAnsi="Arial Narrow"/>
                          <w:color w:val="121212"/>
                        </w:rPr>
                        <w:t>was</w:t>
                      </w:r>
                      <w:r w:rsidR="00CA011A" w:rsidRPr="00CB1088">
                        <w:rPr>
                          <w:rFonts w:ascii="Arial Narrow" w:hAnsi="Arial Narrow"/>
                          <w:color w:val="121212"/>
                        </w:rPr>
                        <w:t xml:space="preserve"> severel</w:t>
                      </w:r>
                      <w:r w:rsidR="00893B12" w:rsidRPr="00CB1088">
                        <w:rPr>
                          <w:rFonts w:ascii="Arial Narrow" w:hAnsi="Arial Narrow"/>
                          <w:color w:val="121212"/>
                        </w:rPr>
                        <w:t xml:space="preserve">y </w:t>
                      </w:r>
                      <w:proofErr w:type="gramStart"/>
                      <w:r w:rsidR="00CA011A" w:rsidRPr="00CB1088">
                        <w:rPr>
                          <w:rFonts w:ascii="Arial Narrow" w:hAnsi="Arial Narrow"/>
                          <w:color w:val="121212"/>
                        </w:rPr>
                        <w:t>disabled</w:t>
                      </w:r>
                      <w:proofErr w:type="gramEnd"/>
                      <w:r w:rsidR="00CA011A" w:rsidRPr="00CB1088">
                        <w:rPr>
                          <w:rFonts w:ascii="Arial Narrow" w:hAnsi="Arial Narrow"/>
                          <w:color w:val="121212"/>
                        </w:rPr>
                        <w:t xml:space="preserve"> </w:t>
                      </w:r>
                      <w:r w:rsidR="00DD769C" w:rsidRPr="00CB1088">
                        <w:rPr>
                          <w:rFonts w:ascii="Arial Narrow" w:hAnsi="Arial Narrow"/>
                          <w:color w:val="121212"/>
                        </w:rPr>
                        <w:t xml:space="preserve">and the </w:t>
                      </w:r>
                      <w:r w:rsidR="00CA011A" w:rsidRPr="00CB1088">
                        <w:rPr>
                          <w:rFonts w:ascii="Arial Narrow" w:hAnsi="Arial Narrow"/>
                          <w:color w:val="121212"/>
                        </w:rPr>
                        <w:t>couple need</w:t>
                      </w:r>
                      <w:r w:rsidR="00DD769C" w:rsidRPr="00CB1088">
                        <w:rPr>
                          <w:rFonts w:ascii="Arial Narrow" w:hAnsi="Arial Narrow"/>
                          <w:color w:val="121212"/>
                        </w:rPr>
                        <w:t>ed</w:t>
                      </w:r>
                      <w:r w:rsidR="00CA011A" w:rsidRPr="00CB1088">
                        <w:rPr>
                          <w:rFonts w:ascii="Arial Narrow" w:hAnsi="Arial Narrow"/>
                          <w:color w:val="121212"/>
                        </w:rPr>
                        <w:t xml:space="preserve"> an extra bedroom for her medical equipment.</w:t>
                      </w:r>
                      <w:r w:rsidR="00DD769C" w:rsidRPr="00CB1088">
                        <w:rPr>
                          <w:rFonts w:ascii="Arial Narrow" w:hAnsi="Arial Narrow"/>
                          <w:color w:val="121212"/>
                        </w:rPr>
                        <w:t xml:space="preserve"> </w:t>
                      </w:r>
                      <w:r w:rsidR="00F77F59" w:rsidRPr="00F77F59">
                        <w:rPr>
                          <w:rFonts w:ascii="Arial Narrow" w:hAnsi="Arial Narrow"/>
                          <w:color w:val="121212"/>
                        </w:rPr>
                        <w:t>The ruling restore</w:t>
                      </w:r>
                      <w:r w:rsidR="00DD769C" w:rsidRPr="00CB1088">
                        <w:rPr>
                          <w:rFonts w:ascii="Arial Narrow" w:hAnsi="Arial Narrow"/>
                          <w:color w:val="121212"/>
                        </w:rPr>
                        <w:t>d</w:t>
                      </w:r>
                      <w:r w:rsidR="00F77F59" w:rsidRPr="00F77F59">
                        <w:rPr>
                          <w:rFonts w:ascii="Arial Narrow" w:hAnsi="Arial Narrow"/>
                          <w:color w:val="121212"/>
                        </w:rPr>
                        <w:t xml:space="preserve"> full housing benefit to at least 155 partners of disabled people who were also subjected to the bedroom tax before rules changed in 2017.</w:t>
                      </w:r>
                    </w:p>
                    <w:p w14:paraId="19C44C60" w14:textId="360C931B" w:rsidR="00F77F59" w:rsidRPr="00F77F59" w:rsidRDefault="00C826FB" w:rsidP="00F77F59">
                      <w:pPr>
                        <w:shd w:val="clear" w:color="auto" w:fill="FFFFFF"/>
                        <w:spacing w:after="240" w:line="240" w:lineRule="auto"/>
                        <w:textAlignment w:val="baseline"/>
                        <w:rPr>
                          <w:rFonts w:ascii="Arial Narrow" w:eastAsia="Times New Roman" w:hAnsi="Arial Narrow" w:cs="Times New Roman"/>
                          <w:color w:val="121212"/>
                          <w:sz w:val="24"/>
                          <w:szCs w:val="24"/>
                          <w:lang w:eastAsia="en-GB"/>
                        </w:rPr>
                      </w:pPr>
                      <w:r w:rsidRPr="00CB1088">
                        <w:rPr>
                          <w:rFonts w:ascii="Arial Narrow" w:eastAsia="Times New Roman" w:hAnsi="Arial Narrow" w:cs="Times New Roman"/>
                          <w:color w:val="121212"/>
                          <w:sz w:val="24"/>
                          <w:szCs w:val="24"/>
                          <w:lang w:eastAsia="en-GB"/>
                        </w:rPr>
                        <w:t xml:space="preserve">Notably, </w:t>
                      </w:r>
                      <w:r w:rsidR="003C4D8C" w:rsidRPr="00CB1088">
                        <w:rPr>
                          <w:rFonts w:ascii="Arial Narrow" w:eastAsia="Times New Roman" w:hAnsi="Arial Narrow" w:cs="Times New Roman"/>
                          <w:color w:val="121212"/>
                          <w:sz w:val="24"/>
                          <w:szCs w:val="24"/>
                          <w:lang w:eastAsia="en-GB"/>
                        </w:rPr>
                        <w:t xml:space="preserve">one case can avoid many people having to experience the same rights infringement – in this case there were at least </w:t>
                      </w:r>
                      <w:r w:rsidR="00F77F59" w:rsidRPr="00F77F59">
                        <w:rPr>
                          <w:rFonts w:ascii="Arial Narrow" w:eastAsia="Times New Roman" w:hAnsi="Arial Narrow" w:cs="Times New Roman"/>
                          <w:color w:val="121212"/>
                          <w:sz w:val="24"/>
                          <w:szCs w:val="24"/>
                          <w:lang w:eastAsia="en-GB"/>
                        </w:rPr>
                        <w:t>130 “lookalike cases” in England and Wales</w:t>
                      </w:r>
                      <w:r w:rsidR="00561682" w:rsidRPr="00CB1088">
                        <w:rPr>
                          <w:rFonts w:ascii="Arial Narrow" w:eastAsia="Times New Roman" w:hAnsi="Arial Narrow" w:cs="Times New Roman"/>
                          <w:color w:val="121212"/>
                          <w:sz w:val="24"/>
                          <w:szCs w:val="24"/>
                          <w:lang w:eastAsia="en-GB"/>
                        </w:rPr>
                        <w:t>, approx</w:t>
                      </w:r>
                      <w:r w:rsidR="00CB1088" w:rsidRPr="00CB1088">
                        <w:rPr>
                          <w:rFonts w:ascii="Arial Narrow" w:eastAsia="Times New Roman" w:hAnsi="Arial Narrow" w:cs="Times New Roman"/>
                          <w:color w:val="121212"/>
                          <w:sz w:val="24"/>
                          <w:szCs w:val="24"/>
                          <w:lang w:eastAsia="en-GB"/>
                        </w:rPr>
                        <w:t>imately</w:t>
                      </w:r>
                      <w:r w:rsidR="00561682" w:rsidRPr="00CB1088">
                        <w:rPr>
                          <w:rFonts w:ascii="Arial Narrow" w:eastAsia="Times New Roman" w:hAnsi="Arial Narrow" w:cs="Times New Roman"/>
                          <w:color w:val="121212"/>
                          <w:sz w:val="24"/>
                          <w:szCs w:val="24"/>
                          <w:lang w:eastAsia="en-GB"/>
                        </w:rPr>
                        <w:t xml:space="preserve"> 25 </w:t>
                      </w:r>
                      <w:r w:rsidR="00CB1088" w:rsidRPr="00CB1088">
                        <w:rPr>
                          <w:rFonts w:ascii="Arial Narrow" w:eastAsia="Times New Roman" w:hAnsi="Arial Narrow" w:cs="Times New Roman"/>
                          <w:color w:val="121212"/>
                          <w:sz w:val="24"/>
                          <w:szCs w:val="24"/>
                          <w:lang w:eastAsia="en-GB"/>
                        </w:rPr>
                        <w:t xml:space="preserve">more </w:t>
                      </w:r>
                      <w:r w:rsidR="00561682" w:rsidRPr="00CB1088">
                        <w:rPr>
                          <w:rFonts w:ascii="Arial Narrow" w:eastAsia="Times New Roman" w:hAnsi="Arial Narrow" w:cs="Times New Roman"/>
                          <w:color w:val="121212"/>
                          <w:sz w:val="24"/>
                          <w:szCs w:val="24"/>
                          <w:lang w:eastAsia="en-GB"/>
                        </w:rPr>
                        <w:t xml:space="preserve">in Scotland and many more that were never taken to tribunal. </w:t>
                      </w:r>
                    </w:p>
                    <w:p w14:paraId="2A4DCE0F" w14:textId="4A14427D" w:rsidR="00CA011A" w:rsidRDefault="00CA011A"/>
                    <w:p w14:paraId="064794F3" w14:textId="0329D219" w:rsidR="00CA011A" w:rsidRDefault="00CA011A"/>
                    <w:p w14:paraId="766DB5D0" w14:textId="77777777" w:rsidR="00CA011A" w:rsidRDefault="00CA011A"/>
                  </w:txbxContent>
                </v:textbox>
                <w10:wrap anchorx="margin"/>
              </v:shape>
            </w:pict>
          </mc:Fallback>
        </mc:AlternateContent>
      </w:r>
    </w:p>
    <w:p w14:paraId="430B1299" w14:textId="5BBA6E44" w:rsidR="00C05D8E" w:rsidRDefault="00C05D8E">
      <w:pPr>
        <w:rPr>
          <w:rFonts w:ascii="Arial Narrow" w:hAnsi="Arial Narrow" w:cs="Arial"/>
          <w:sz w:val="24"/>
          <w:szCs w:val="24"/>
        </w:rPr>
      </w:pPr>
    </w:p>
    <w:p w14:paraId="03B2D8A5" w14:textId="0246A213" w:rsidR="00C05D8E" w:rsidRDefault="00C05D8E">
      <w:pPr>
        <w:rPr>
          <w:rFonts w:ascii="Arial Narrow" w:hAnsi="Arial Narrow" w:cs="Arial"/>
          <w:sz w:val="24"/>
          <w:szCs w:val="24"/>
        </w:rPr>
      </w:pPr>
    </w:p>
    <w:p w14:paraId="1E3A31E2" w14:textId="39986852" w:rsidR="00C05D8E" w:rsidRDefault="00C05D8E">
      <w:pPr>
        <w:rPr>
          <w:rFonts w:ascii="Arial Narrow" w:hAnsi="Arial Narrow" w:cs="Arial"/>
          <w:sz w:val="24"/>
          <w:szCs w:val="24"/>
        </w:rPr>
      </w:pPr>
    </w:p>
    <w:p w14:paraId="26E6D4A1" w14:textId="0077D8DE" w:rsidR="00C05D8E" w:rsidRDefault="00C05D8E">
      <w:pPr>
        <w:rPr>
          <w:rFonts w:ascii="Arial Narrow" w:hAnsi="Arial Narrow" w:cs="Arial"/>
          <w:sz w:val="24"/>
          <w:szCs w:val="24"/>
        </w:rPr>
      </w:pPr>
    </w:p>
    <w:p w14:paraId="10C76EDB" w14:textId="4DF46F7F" w:rsidR="00C05D8E" w:rsidRDefault="00C05D8E">
      <w:pPr>
        <w:rPr>
          <w:rFonts w:ascii="Arial Narrow" w:hAnsi="Arial Narrow" w:cs="Arial"/>
          <w:sz w:val="24"/>
          <w:szCs w:val="24"/>
        </w:rPr>
      </w:pPr>
    </w:p>
    <w:p w14:paraId="3566395C" w14:textId="7EFAC500" w:rsidR="00C05D8E" w:rsidRDefault="00C05D8E">
      <w:pPr>
        <w:rPr>
          <w:rFonts w:ascii="Arial Narrow" w:hAnsi="Arial Narrow" w:cs="Arial"/>
          <w:sz w:val="24"/>
          <w:szCs w:val="24"/>
        </w:rPr>
      </w:pPr>
    </w:p>
    <w:p w14:paraId="346D59CE" w14:textId="77777777" w:rsidR="007526BD" w:rsidRDefault="007526BD">
      <w:pPr>
        <w:rPr>
          <w:rFonts w:ascii="Arial Narrow" w:hAnsi="Arial Narrow" w:cs="Arial"/>
          <w:sz w:val="24"/>
          <w:szCs w:val="24"/>
        </w:rPr>
      </w:pPr>
    </w:p>
    <w:p w14:paraId="3C14AFED" w14:textId="77777777" w:rsidR="00CA011A" w:rsidRPr="00883AD4" w:rsidRDefault="00CA011A">
      <w:pPr>
        <w:rPr>
          <w:rFonts w:ascii="Arial Narrow" w:hAnsi="Arial Narrow" w:cs="Arial"/>
          <w:sz w:val="24"/>
          <w:szCs w:val="24"/>
        </w:rPr>
      </w:pPr>
    </w:p>
    <w:p w14:paraId="7B2DE455" w14:textId="47409827" w:rsidR="000D0373" w:rsidRPr="00883AD4" w:rsidRDefault="00523305" w:rsidP="000D0373">
      <w:pPr>
        <w:pStyle w:val="ListParagraph"/>
        <w:numPr>
          <w:ilvl w:val="0"/>
          <w:numId w:val="5"/>
        </w:numPr>
        <w:rPr>
          <w:rFonts w:ascii="Arial Narrow" w:hAnsi="Arial Narrow" w:cs="Arial"/>
          <w:b/>
          <w:bCs/>
          <w:sz w:val="24"/>
          <w:szCs w:val="24"/>
        </w:rPr>
      </w:pPr>
      <w:r w:rsidRPr="00883AD4">
        <w:rPr>
          <w:rFonts w:ascii="Arial Narrow" w:hAnsi="Arial Narrow" w:cs="Arial"/>
          <w:b/>
          <w:bCs/>
          <w:sz w:val="24"/>
          <w:szCs w:val="24"/>
        </w:rPr>
        <w:t>B</w:t>
      </w:r>
      <w:r w:rsidR="000D0373" w:rsidRPr="00883AD4">
        <w:rPr>
          <w:rFonts w:ascii="Arial Narrow" w:hAnsi="Arial Narrow" w:cs="Arial"/>
          <w:b/>
          <w:bCs/>
          <w:sz w:val="24"/>
          <w:szCs w:val="24"/>
        </w:rPr>
        <w:t xml:space="preserve">etter </w:t>
      </w:r>
      <w:r w:rsidR="00FB4CCE" w:rsidRPr="00883AD4">
        <w:rPr>
          <w:rFonts w:ascii="Arial Narrow" w:hAnsi="Arial Narrow" w:cs="Arial"/>
          <w:b/>
          <w:bCs/>
          <w:sz w:val="24"/>
          <w:szCs w:val="24"/>
        </w:rPr>
        <w:t>public services</w:t>
      </w:r>
    </w:p>
    <w:p w14:paraId="70670CE8" w14:textId="349D6760" w:rsidR="00FB4CCE" w:rsidRPr="00883AD4" w:rsidRDefault="00FB4CCE" w:rsidP="00FB4CCE">
      <w:pPr>
        <w:rPr>
          <w:rFonts w:ascii="Arial Narrow" w:hAnsi="Arial Narrow" w:cs="Arial"/>
          <w:sz w:val="24"/>
          <w:szCs w:val="24"/>
        </w:rPr>
      </w:pPr>
      <w:r w:rsidRPr="00883AD4">
        <w:rPr>
          <w:rFonts w:ascii="Arial Narrow" w:hAnsi="Arial Narrow" w:cs="Arial"/>
          <w:sz w:val="24"/>
          <w:szCs w:val="24"/>
        </w:rPr>
        <w:t xml:space="preserve">Holding government to account cannot be left to elections only, but there needs to be avenues of accountability throughout our system of public decision-making. Sometimes where human rights </w:t>
      </w:r>
      <w:r w:rsidRPr="00883AD4">
        <w:rPr>
          <w:rFonts w:ascii="Arial Narrow" w:hAnsi="Arial Narrow" w:cs="Arial"/>
          <w:sz w:val="24"/>
          <w:szCs w:val="24"/>
        </w:rPr>
        <w:lastRenderedPageBreak/>
        <w:t xml:space="preserve">infringements have been raised with government and with the </w:t>
      </w:r>
      <w:proofErr w:type="gramStart"/>
      <w:r w:rsidRPr="00883AD4">
        <w:rPr>
          <w:rFonts w:ascii="Arial Narrow" w:hAnsi="Arial Narrow" w:cs="Arial"/>
          <w:sz w:val="24"/>
          <w:szCs w:val="24"/>
        </w:rPr>
        <w:t>legislature</w:t>
      </w:r>
      <w:proofErr w:type="gramEnd"/>
      <w:r w:rsidRPr="00883AD4">
        <w:rPr>
          <w:rFonts w:ascii="Arial Narrow" w:hAnsi="Arial Narrow" w:cs="Arial"/>
          <w:sz w:val="24"/>
          <w:szCs w:val="24"/>
        </w:rPr>
        <w:t xml:space="preserve"> but no actual action has been taken to address these rights infringement, it is right and proper that the courts step in to insist on remedy</w:t>
      </w:r>
      <w:r w:rsidR="00C579F8">
        <w:rPr>
          <w:rFonts w:ascii="Arial Narrow" w:hAnsi="Arial Narrow" w:cs="Arial"/>
          <w:sz w:val="24"/>
          <w:szCs w:val="24"/>
        </w:rPr>
        <w:t xml:space="preserve"> and to be a guarantor of human rights.</w:t>
      </w:r>
      <w:r w:rsidRPr="00883AD4">
        <w:rPr>
          <w:rFonts w:ascii="Arial Narrow" w:hAnsi="Arial Narrow" w:cs="Arial"/>
          <w:sz w:val="24"/>
          <w:szCs w:val="24"/>
        </w:rPr>
        <w:t xml:space="preserve"> </w:t>
      </w:r>
    </w:p>
    <w:p w14:paraId="4DFFF682" w14:textId="32FBB3CF" w:rsidR="00FB4CCE" w:rsidRDefault="000C5241" w:rsidP="00FB4CCE">
      <w:pPr>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8244" behindDoc="0" locked="0" layoutInCell="1" allowOverlap="1" wp14:anchorId="7D2DC930" wp14:editId="5B950820">
                <wp:simplePos x="0" y="0"/>
                <wp:positionH relativeFrom="column">
                  <wp:posOffset>-260350</wp:posOffset>
                </wp:positionH>
                <wp:positionV relativeFrom="paragraph">
                  <wp:posOffset>105410</wp:posOffset>
                </wp:positionV>
                <wp:extent cx="6299200" cy="21907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6299200" cy="2190750"/>
                        </a:xfrm>
                        <a:prstGeom prst="rect">
                          <a:avLst/>
                        </a:prstGeom>
                        <a:solidFill>
                          <a:schemeClr val="lt1"/>
                        </a:solidFill>
                        <a:ln w="6350">
                          <a:solidFill>
                            <a:prstClr val="black"/>
                          </a:solidFill>
                        </a:ln>
                      </wps:spPr>
                      <wps:txbx>
                        <w:txbxContent>
                          <w:p w14:paraId="021393A5" w14:textId="09A85BE1" w:rsidR="000C5241" w:rsidRPr="00C66BDF" w:rsidRDefault="000C5241" w:rsidP="000C5241">
                            <w:pPr>
                              <w:rPr>
                                <w:rFonts w:ascii="Arial Narrow" w:hAnsi="Arial Narrow" w:cs="Arial"/>
                                <w:b/>
                                <w:bCs/>
                                <w:sz w:val="24"/>
                                <w:szCs w:val="24"/>
                              </w:rPr>
                            </w:pPr>
                            <w:r w:rsidRPr="00C66BDF">
                              <w:rPr>
                                <w:rFonts w:ascii="Arial Narrow" w:hAnsi="Arial Narrow" w:cs="Arial"/>
                                <w:b/>
                                <w:bCs/>
                                <w:sz w:val="24"/>
                                <w:szCs w:val="24"/>
                              </w:rPr>
                              <w:t>Example</w:t>
                            </w:r>
                            <w:r w:rsidR="00527E71">
                              <w:rPr>
                                <w:rFonts w:ascii="Arial Narrow" w:hAnsi="Arial Narrow" w:cs="Arial"/>
                                <w:b/>
                                <w:bCs/>
                                <w:sz w:val="24"/>
                                <w:szCs w:val="24"/>
                              </w:rPr>
                              <w:t>:</w:t>
                            </w:r>
                            <w:r w:rsidR="00C66BDF">
                              <w:rPr>
                                <w:rFonts w:ascii="Arial Narrow" w:hAnsi="Arial Narrow" w:cs="Arial"/>
                                <w:b/>
                                <w:bCs/>
                                <w:sz w:val="24"/>
                                <w:szCs w:val="24"/>
                              </w:rPr>
                              <w:t xml:space="preserve"> </w:t>
                            </w:r>
                            <w:r w:rsidRPr="00C66BDF">
                              <w:rPr>
                                <w:rFonts w:ascii="Arial Narrow" w:hAnsi="Arial Narrow" w:cs="Arial"/>
                                <w:b/>
                                <w:bCs/>
                                <w:sz w:val="24"/>
                                <w:szCs w:val="24"/>
                              </w:rPr>
                              <w:t>improved prison</w:t>
                            </w:r>
                            <w:r w:rsidR="00BB7B23" w:rsidRPr="00C66BDF">
                              <w:rPr>
                                <w:rFonts w:ascii="Arial Narrow" w:hAnsi="Arial Narrow" w:cs="Arial"/>
                                <w:b/>
                                <w:bCs/>
                                <w:sz w:val="24"/>
                                <w:szCs w:val="24"/>
                              </w:rPr>
                              <w:t xml:space="preserve"> conditions</w:t>
                            </w:r>
                          </w:p>
                          <w:p w14:paraId="4D8A158E" w14:textId="2C3749F2" w:rsidR="000C5241" w:rsidRPr="00BB7B23" w:rsidRDefault="00BB7B23" w:rsidP="000C5241">
                            <w:pPr>
                              <w:rPr>
                                <w:rFonts w:ascii="Arial Narrow" w:hAnsi="Arial Narrow" w:cs="Arial"/>
                                <w:sz w:val="24"/>
                                <w:szCs w:val="24"/>
                              </w:rPr>
                            </w:pPr>
                            <w:r w:rsidRPr="00BB7B23">
                              <w:rPr>
                                <w:rFonts w:ascii="Arial Narrow" w:hAnsi="Arial Narrow" w:cs="Arial"/>
                                <w:sz w:val="24"/>
                                <w:szCs w:val="24"/>
                              </w:rPr>
                              <w:t>“Slopping out” required the need to manually empty human waste when prison cells were unlocked in the morning because inmates were not provided with access to a flush toilet overnight. This practice had been banned almost a decade earlier in England and Wales</w:t>
                            </w:r>
                            <w:r w:rsidR="00ED7B33">
                              <w:rPr>
                                <w:rFonts w:ascii="Arial Narrow" w:hAnsi="Arial Narrow" w:cs="Arial"/>
                                <w:sz w:val="24"/>
                                <w:szCs w:val="24"/>
                              </w:rPr>
                              <w:t xml:space="preserve"> but persisted in Scottish prisons even though there was widespread acceptance that it needed to change</w:t>
                            </w:r>
                            <w:r w:rsidRPr="00BB7B23">
                              <w:rPr>
                                <w:rFonts w:ascii="Arial Narrow" w:hAnsi="Arial Narrow" w:cs="Arial"/>
                                <w:sz w:val="24"/>
                                <w:szCs w:val="24"/>
                              </w:rPr>
                              <w:t xml:space="preserve">. </w:t>
                            </w:r>
                            <w:r w:rsidR="000C5241" w:rsidRPr="00BB7B23">
                              <w:rPr>
                                <w:rFonts w:ascii="Arial Narrow" w:hAnsi="Arial Narrow" w:cs="Arial"/>
                                <w:sz w:val="24"/>
                                <w:szCs w:val="24"/>
                              </w:rPr>
                              <w:t xml:space="preserve">As a result of the case </w:t>
                            </w:r>
                            <w:r w:rsidR="000C5241" w:rsidRPr="00BB7B23">
                              <w:rPr>
                                <w:rFonts w:ascii="Arial Narrow" w:hAnsi="Arial Narrow" w:cs="Arial"/>
                                <w:i/>
                                <w:iCs/>
                                <w:sz w:val="24"/>
                                <w:szCs w:val="24"/>
                              </w:rPr>
                              <w:t>Napier v The Scottish Ministers</w:t>
                            </w:r>
                            <w:r w:rsidR="000C5241" w:rsidRPr="00BB7B23">
                              <w:rPr>
                                <w:rFonts w:ascii="Arial Narrow" w:hAnsi="Arial Narrow" w:cs="Arial"/>
                                <w:sz w:val="24"/>
                                <w:szCs w:val="24"/>
                              </w:rPr>
                              <w:t xml:space="preserve"> [2005] CSIH 16 which was brought by a Scottish prisoner, the practice of ‘slopping out’ was banned in Scottish prisons. Robert Napier successfully claimed that that the conditions in which he was held contravened Article 3 of the ECHR as they were inhuman and degrading. As a result of the </w:t>
                            </w:r>
                            <w:r w:rsidR="000C5241" w:rsidRPr="00BB7B23">
                              <w:rPr>
                                <w:rFonts w:ascii="Arial Narrow" w:hAnsi="Arial Narrow" w:cs="Arial"/>
                                <w:i/>
                                <w:iCs/>
                                <w:sz w:val="24"/>
                                <w:szCs w:val="24"/>
                              </w:rPr>
                              <w:t>Napie</w:t>
                            </w:r>
                            <w:r w:rsidR="000C5241" w:rsidRPr="00BB7B23">
                              <w:rPr>
                                <w:rFonts w:ascii="Arial Narrow" w:hAnsi="Arial Narrow" w:cs="Arial"/>
                                <w:sz w:val="24"/>
                                <w:szCs w:val="24"/>
                              </w:rPr>
                              <w:t xml:space="preserve">r judgment prisoners who had been subject to slopping out practices were entitled to compensation and the Scottish Prison Service was required to invest in updated toilet facilities. </w:t>
                            </w:r>
                          </w:p>
                          <w:p w14:paraId="4046CB9A" w14:textId="77777777" w:rsidR="000C5241" w:rsidRDefault="000C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DC930" id="Text Box 5" o:spid="_x0000_s1031" type="#_x0000_t202" style="position:absolute;margin-left:-20.5pt;margin-top:8.3pt;width:496pt;height:17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SCTAIAAKkEAAAOAAAAZHJzL2Uyb0RvYy54bWysVE1vGjEQvVfqf7B8Lws0JAWxRDQRVSWU&#10;RCJVzsbrhVW9Htc27NJf32ezkK+eql688+XnmTczO71ua832yvmKTM4HvT5nykgqKrPJ+Y/Hxacv&#10;nPkgTCE0GZXzg/L8evbxw7SxEzWkLelCOQYQ4yeNzfk2BDvJMi+3qha+R1YZOEtytQhQ3SYrnGiA&#10;Xuts2O9fZg25wjqSyntYb49OPkv4ZalkuC9LrwLTOUduIZ0unet4ZrOpmGycsNtKdmmIf8iiFpXB&#10;o2eoWxEE27nqHVRdSUeeytCTVGdUlpVUqQZUM+i/qWa1FValWkCOt2ea/P+DlXf7B8eqIucjzoyo&#10;0aJH1Qb2lVo2iuw01k8QtLIICy3M6PLJ7mGMRbelq+MX5TD4wfPhzG0EkzBeDsdjNIwzCd9wMO5f&#10;jRL72fN163z4pqhmUci5Q/MSp2K/9AGpIPQUEl/zpKtiUWmdlDgw6kY7thdotQ4pSdx4FaUNa5DK&#10;Zzz9DiFCn++vtZA/Y5mvEaBpA2Mk5Vh8lEK7bjsKO8LWVBzAl6PjvHkrFxXgl8KHB+EwYOABSxPu&#10;cZSakBN1Emdbcr//Zo/x6Du8nDUY2Jz7XzvhFGf6u8FEjAcXF3HCk3IxuhpCcS8965ces6tvCEQN&#10;sJ5WJjHGB30SS0f1E3ZrHl+FSxiJt3MeTuJNOK4RdlOq+TwFYaatCEuzsjJCR44jrY/tk3C2a2vA&#10;RNzRabTF5E13j7HxpqH5LlBZpdZHno+sdvRjH1J3ut2NC/dST1HPf5jZHwAAAP//AwBQSwMEFAAG&#10;AAgAAAAhAGx2uLrdAAAACgEAAA8AAABkcnMvZG93bnJldi54bWxMj81OwzAQhO9IvIO1SNxaJ/xY&#10;aRqnAlS4cKKgnt14a1vEdhS7aXh7tic47sxo9ptmM/ueTTgmF4OEclkAw9BF7YKR8PX5uqiApayC&#10;Vn0MKOEHE2za66tG1TqewwdOu2wYlYRUKwk256HmPHUWvUrLOGAg7xhHrzKdo+F6VGcq9z2/KwrB&#10;vXKBPlg14IvF7nt38hK2z2ZlukqNdltp56Z5f3w3b1Le3sxPa2AZ5/wXhgs+oUNLTId4CjqxXsLi&#10;oaQtmQwhgFFg9XgRDhLuRSmAtw3/P6H9BQAA//8DAFBLAQItABQABgAIAAAAIQC2gziS/gAAAOEB&#10;AAATAAAAAAAAAAAAAAAAAAAAAABbQ29udGVudF9UeXBlc10ueG1sUEsBAi0AFAAGAAgAAAAhADj9&#10;If/WAAAAlAEAAAsAAAAAAAAAAAAAAAAALwEAAF9yZWxzLy5yZWxzUEsBAi0AFAAGAAgAAAAhACvu&#10;1IJMAgAAqQQAAA4AAAAAAAAAAAAAAAAALgIAAGRycy9lMm9Eb2MueG1sUEsBAi0AFAAGAAgAAAAh&#10;AGx2uLrdAAAACgEAAA8AAAAAAAAAAAAAAAAApgQAAGRycy9kb3ducmV2LnhtbFBLBQYAAAAABAAE&#10;APMAAACwBQAAAAA=&#10;" fillcolor="white [3201]" strokeweight=".5pt">
                <v:textbox>
                  <w:txbxContent>
                    <w:p w14:paraId="021393A5" w14:textId="09A85BE1" w:rsidR="000C5241" w:rsidRPr="00C66BDF" w:rsidRDefault="000C5241" w:rsidP="000C5241">
                      <w:pPr>
                        <w:rPr>
                          <w:rFonts w:ascii="Arial Narrow" w:hAnsi="Arial Narrow" w:cs="Arial"/>
                          <w:b/>
                          <w:bCs/>
                          <w:sz w:val="24"/>
                          <w:szCs w:val="24"/>
                        </w:rPr>
                      </w:pPr>
                      <w:r w:rsidRPr="00C66BDF">
                        <w:rPr>
                          <w:rFonts w:ascii="Arial Narrow" w:hAnsi="Arial Narrow" w:cs="Arial"/>
                          <w:b/>
                          <w:bCs/>
                          <w:sz w:val="24"/>
                          <w:szCs w:val="24"/>
                        </w:rPr>
                        <w:t>Example</w:t>
                      </w:r>
                      <w:r w:rsidR="00527E71">
                        <w:rPr>
                          <w:rFonts w:ascii="Arial Narrow" w:hAnsi="Arial Narrow" w:cs="Arial"/>
                          <w:b/>
                          <w:bCs/>
                          <w:sz w:val="24"/>
                          <w:szCs w:val="24"/>
                        </w:rPr>
                        <w:t>:</w:t>
                      </w:r>
                      <w:r w:rsidR="00C66BDF">
                        <w:rPr>
                          <w:rFonts w:ascii="Arial Narrow" w:hAnsi="Arial Narrow" w:cs="Arial"/>
                          <w:b/>
                          <w:bCs/>
                          <w:sz w:val="24"/>
                          <w:szCs w:val="24"/>
                        </w:rPr>
                        <w:t xml:space="preserve"> </w:t>
                      </w:r>
                      <w:r w:rsidRPr="00C66BDF">
                        <w:rPr>
                          <w:rFonts w:ascii="Arial Narrow" w:hAnsi="Arial Narrow" w:cs="Arial"/>
                          <w:b/>
                          <w:bCs/>
                          <w:sz w:val="24"/>
                          <w:szCs w:val="24"/>
                        </w:rPr>
                        <w:t>improved prison</w:t>
                      </w:r>
                      <w:r w:rsidR="00BB7B23" w:rsidRPr="00C66BDF">
                        <w:rPr>
                          <w:rFonts w:ascii="Arial Narrow" w:hAnsi="Arial Narrow" w:cs="Arial"/>
                          <w:b/>
                          <w:bCs/>
                          <w:sz w:val="24"/>
                          <w:szCs w:val="24"/>
                        </w:rPr>
                        <w:t xml:space="preserve"> conditions</w:t>
                      </w:r>
                    </w:p>
                    <w:p w14:paraId="4D8A158E" w14:textId="2C3749F2" w:rsidR="000C5241" w:rsidRPr="00BB7B23" w:rsidRDefault="00BB7B23" w:rsidP="000C5241">
                      <w:pPr>
                        <w:rPr>
                          <w:rFonts w:ascii="Arial Narrow" w:hAnsi="Arial Narrow" w:cs="Arial"/>
                          <w:sz w:val="24"/>
                          <w:szCs w:val="24"/>
                        </w:rPr>
                      </w:pPr>
                      <w:r w:rsidRPr="00BB7B23">
                        <w:rPr>
                          <w:rFonts w:ascii="Arial Narrow" w:hAnsi="Arial Narrow" w:cs="Arial"/>
                          <w:sz w:val="24"/>
                          <w:szCs w:val="24"/>
                        </w:rPr>
                        <w:t>“Slopping out” required the need to manually empty human waste when prison cells were unlocked in the morning because inmates were not provided with access to a flush toilet overnight. This practice had been banned almost a decade earlier in England and Wales</w:t>
                      </w:r>
                      <w:r w:rsidR="00ED7B33">
                        <w:rPr>
                          <w:rFonts w:ascii="Arial Narrow" w:hAnsi="Arial Narrow" w:cs="Arial"/>
                          <w:sz w:val="24"/>
                          <w:szCs w:val="24"/>
                        </w:rPr>
                        <w:t xml:space="preserve"> but persisted in Scottish prisons even though there was widespread acceptance that it needed to change</w:t>
                      </w:r>
                      <w:r w:rsidRPr="00BB7B23">
                        <w:rPr>
                          <w:rFonts w:ascii="Arial Narrow" w:hAnsi="Arial Narrow" w:cs="Arial"/>
                          <w:sz w:val="24"/>
                          <w:szCs w:val="24"/>
                        </w:rPr>
                        <w:t xml:space="preserve">. </w:t>
                      </w:r>
                      <w:r w:rsidR="000C5241" w:rsidRPr="00BB7B23">
                        <w:rPr>
                          <w:rFonts w:ascii="Arial Narrow" w:hAnsi="Arial Narrow" w:cs="Arial"/>
                          <w:sz w:val="24"/>
                          <w:szCs w:val="24"/>
                        </w:rPr>
                        <w:t xml:space="preserve">As a result of the case </w:t>
                      </w:r>
                      <w:r w:rsidR="000C5241" w:rsidRPr="00BB7B23">
                        <w:rPr>
                          <w:rFonts w:ascii="Arial Narrow" w:hAnsi="Arial Narrow" w:cs="Arial"/>
                          <w:i/>
                          <w:iCs/>
                          <w:sz w:val="24"/>
                          <w:szCs w:val="24"/>
                        </w:rPr>
                        <w:t>Napier v The Scottish Ministers</w:t>
                      </w:r>
                      <w:r w:rsidR="000C5241" w:rsidRPr="00BB7B23">
                        <w:rPr>
                          <w:rFonts w:ascii="Arial Narrow" w:hAnsi="Arial Narrow" w:cs="Arial"/>
                          <w:sz w:val="24"/>
                          <w:szCs w:val="24"/>
                        </w:rPr>
                        <w:t xml:space="preserve"> [2005] CSIH 16 which was brought by a Scottish prisoner, the practice of ‘slopping out’ was banned in Scottish prisons. Robert Napier successfully claimed that that the conditions in which he was held contravened Article 3 of the ECHR as they were inhuman and degrading. As a result of the </w:t>
                      </w:r>
                      <w:r w:rsidR="000C5241" w:rsidRPr="00BB7B23">
                        <w:rPr>
                          <w:rFonts w:ascii="Arial Narrow" w:hAnsi="Arial Narrow" w:cs="Arial"/>
                          <w:i/>
                          <w:iCs/>
                          <w:sz w:val="24"/>
                          <w:szCs w:val="24"/>
                        </w:rPr>
                        <w:t>Napie</w:t>
                      </w:r>
                      <w:r w:rsidR="000C5241" w:rsidRPr="00BB7B23">
                        <w:rPr>
                          <w:rFonts w:ascii="Arial Narrow" w:hAnsi="Arial Narrow" w:cs="Arial"/>
                          <w:sz w:val="24"/>
                          <w:szCs w:val="24"/>
                        </w:rPr>
                        <w:t xml:space="preserve">r judgment prisoners who had been subject to slopping out practices were entitled to compensation and the Scottish Prison Service was required to invest in updated toilet facilities. </w:t>
                      </w:r>
                    </w:p>
                    <w:p w14:paraId="4046CB9A" w14:textId="77777777" w:rsidR="000C5241" w:rsidRDefault="000C5241"/>
                  </w:txbxContent>
                </v:textbox>
              </v:shape>
            </w:pict>
          </mc:Fallback>
        </mc:AlternateContent>
      </w:r>
    </w:p>
    <w:p w14:paraId="50A6A565" w14:textId="2423FDA4" w:rsidR="00C37840" w:rsidRDefault="00C37840" w:rsidP="00FB4CCE">
      <w:pPr>
        <w:rPr>
          <w:rFonts w:ascii="Arial Narrow" w:hAnsi="Arial Narrow" w:cs="Arial"/>
          <w:sz w:val="24"/>
          <w:szCs w:val="24"/>
        </w:rPr>
      </w:pPr>
    </w:p>
    <w:p w14:paraId="13C65047" w14:textId="3A026326" w:rsidR="00C37840" w:rsidRDefault="00C37840" w:rsidP="00FB4CCE">
      <w:pPr>
        <w:rPr>
          <w:rFonts w:ascii="Arial Narrow" w:hAnsi="Arial Narrow" w:cs="Arial"/>
          <w:sz w:val="24"/>
          <w:szCs w:val="24"/>
        </w:rPr>
      </w:pPr>
    </w:p>
    <w:p w14:paraId="08A27ADB" w14:textId="5C4FD310" w:rsidR="00C37840" w:rsidRDefault="00C37840" w:rsidP="00FB4CCE">
      <w:pPr>
        <w:rPr>
          <w:rFonts w:ascii="Arial Narrow" w:hAnsi="Arial Narrow" w:cs="Arial"/>
          <w:sz w:val="24"/>
          <w:szCs w:val="24"/>
        </w:rPr>
      </w:pPr>
    </w:p>
    <w:p w14:paraId="7D60ECCB" w14:textId="0A691BBD" w:rsidR="00C37840" w:rsidRDefault="00C37840" w:rsidP="00FB4CCE">
      <w:pPr>
        <w:rPr>
          <w:rFonts w:ascii="Arial Narrow" w:hAnsi="Arial Narrow" w:cs="Arial"/>
          <w:sz w:val="24"/>
          <w:szCs w:val="24"/>
        </w:rPr>
      </w:pPr>
    </w:p>
    <w:p w14:paraId="7D59DC07" w14:textId="7B5AE57C" w:rsidR="00C37840" w:rsidRDefault="00C37840" w:rsidP="00FB4CCE">
      <w:pPr>
        <w:rPr>
          <w:rFonts w:ascii="Arial Narrow" w:hAnsi="Arial Narrow" w:cs="Arial"/>
          <w:sz w:val="24"/>
          <w:szCs w:val="24"/>
        </w:rPr>
      </w:pPr>
    </w:p>
    <w:p w14:paraId="6922CA71" w14:textId="76BD4FC0" w:rsidR="00C37840" w:rsidRDefault="00C37840" w:rsidP="00FB4CCE">
      <w:pPr>
        <w:rPr>
          <w:rFonts w:ascii="Arial Narrow" w:hAnsi="Arial Narrow" w:cs="Arial"/>
          <w:sz w:val="24"/>
          <w:szCs w:val="24"/>
        </w:rPr>
      </w:pPr>
    </w:p>
    <w:p w14:paraId="57A97EDF" w14:textId="1C751040" w:rsidR="00C37840" w:rsidRDefault="00C37840" w:rsidP="00FB4CCE">
      <w:pPr>
        <w:rPr>
          <w:rFonts w:ascii="Arial Narrow" w:hAnsi="Arial Narrow" w:cs="Arial"/>
          <w:sz w:val="24"/>
          <w:szCs w:val="24"/>
        </w:rPr>
      </w:pPr>
    </w:p>
    <w:p w14:paraId="51FD158E" w14:textId="77777777" w:rsidR="00C37840" w:rsidRPr="00883AD4" w:rsidRDefault="00C37840" w:rsidP="00FB4CCE">
      <w:pPr>
        <w:rPr>
          <w:rFonts w:ascii="Arial Narrow" w:hAnsi="Arial Narrow" w:cs="Arial"/>
          <w:sz w:val="24"/>
          <w:szCs w:val="24"/>
        </w:rPr>
      </w:pPr>
    </w:p>
    <w:p w14:paraId="40FC82DB" w14:textId="2D2DB95D" w:rsidR="00523305" w:rsidRPr="00883AD4" w:rsidRDefault="00523305" w:rsidP="00523305">
      <w:pPr>
        <w:pStyle w:val="ListParagraph"/>
        <w:numPr>
          <w:ilvl w:val="0"/>
          <w:numId w:val="5"/>
        </w:numPr>
        <w:rPr>
          <w:rFonts w:ascii="Arial Narrow" w:hAnsi="Arial Narrow" w:cs="Arial"/>
          <w:b/>
          <w:bCs/>
          <w:sz w:val="24"/>
          <w:szCs w:val="24"/>
        </w:rPr>
      </w:pPr>
      <w:r w:rsidRPr="00883AD4">
        <w:rPr>
          <w:rFonts w:ascii="Arial Narrow" w:hAnsi="Arial Narrow" w:cs="Arial"/>
          <w:b/>
          <w:bCs/>
          <w:sz w:val="24"/>
          <w:szCs w:val="24"/>
        </w:rPr>
        <w:t xml:space="preserve">Increased legal </w:t>
      </w:r>
      <w:proofErr w:type="gramStart"/>
      <w:r w:rsidRPr="00883AD4">
        <w:rPr>
          <w:rFonts w:ascii="Arial Narrow" w:hAnsi="Arial Narrow" w:cs="Arial"/>
          <w:b/>
          <w:bCs/>
          <w:sz w:val="24"/>
          <w:szCs w:val="24"/>
        </w:rPr>
        <w:t>certainty</w:t>
      </w:r>
      <w:proofErr w:type="gramEnd"/>
    </w:p>
    <w:p w14:paraId="077D529B" w14:textId="38B7058D" w:rsidR="00833CC4" w:rsidRPr="00883AD4" w:rsidRDefault="001319B3" w:rsidP="000D0373">
      <w:pPr>
        <w:rPr>
          <w:rFonts w:ascii="Arial Narrow" w:hAnsi="Arial Narrow" w:cs="Arial"/>
          <w:sz w:val="24"/>
          <w:szCs w:val="24"/>
        </w:rPr>
      </w:pPr>
      <w:r>
        <w:rPr>
          <w:rFonts w:ascii="Arial Narrow" w:hAnsi="Arial Narrow" w:cs="Arial"/>
          <w:sz w:val="24"/>
          <w:szCs w:val="24"/>
        </w:rPr>
        <w:t>T</w:t>
      </w:r>
      <w:r w:rsidR="002B7BC5" w:rsidRPr="00883AD4">
        <w:rPr>
          <w:rFonts w:ascii="Arial Narrow" w:hAnsi="Arial Narrow" w:cs="Arial"/>
          <w:sz w:val="24"/>
          <w:szCs w:val="24"/>
        </w:rPr>
        <w:t xml:space="preserve">he impact of courts within the human rights framework is not only to be found within individual court decisions, but also in the legal certainty and clarity that this brings to policy and practice.  </w:t>
      </w:r>
      <w:r w:rsidR="000D0373" w:rsidRPr="00883AD4">
        <w:rPr>
          <w:rFonts w:ascii="Arial Narrow" w:hAnsi="Arial Narrow" w:cs="Arial"/>
          <w:sz w:val="24"/>
          <w:szCs w:val="24"/>
        </w:rPr>
        <w:t xml:space="preserve">Many across civil society are directly involved in service design and delivery, whether through working with </w:t>
      </w:r>
      <w:r w:rsidR="002B7BC5" w:rsidRPr="00883AD4">
        <w:rPr>
          <w:rFonts w:ascii="Arial Narrow" w:hAnsi="Arial Narrow" w:cs="Arial"/>
          <w:sz w:val="24"/>
          <w:szCs w:val="24"/>
        </w:rPr>
        <w:t xml:space="preserve">or influencing </w:t>
      </w:r>
      <w:r w:rsidR="000D0373" w:rsidRPr="00883AD4">
        <w:rPr>
          <w:rFonts w:ascii="Arial Narrow" w:hAnsi="Arial Narrow" w:cs="Arial"/>
          <w:sz w:val="24"/>
          <w:szCs w:val="24"/>
        </w:rPr>
        <w:t>public authorities</w:t>
      </w:r>
      <w:r w:rsidR="002B7BC5" w:rsidRPr="00883AD4">
        <w:rPr>
          <w:rFonts w:ascii="Arial Narrow" w:hAnsi="Arial Narrow" w:cs="Arial"/>
          <w:sz w:val="24"/>
          <w:szCs w:val="24"/>
        </w:rPr>
        <w:t>,</w:t>
      </w:r>
      <w:r w:rsidR="000D0373" w:rsidRPr="00883AD4">
        <w:rPr>
          <w:rFonts w:ascii="Arial Narrow" w:hAnsi="Arial Narrow" w:cs="Arial"/>
          <w:sz w:val="24"/>
          <w:szCs w:val="24"/>
        </w:rPr>
        <w:t xml:space="preserve"> or sometimes, in </w:t>
      </w:r>
      <w:r w:rsidR="002B7BC5" w:rsidRPr="00883AD4">
        <w:rPr>
          <w:rFonts w:ascii="Arial Narrow" w:hAnsi="Arial Narrow" w:cs="Arial"/>
          <w:sz w:val="24"/>
          <w:szCs w:val="24"/>
        </w:rPr>
        <w:t xml:space="preserve">direct </w:t>
      </w:r>
      <w:r w:rsidR="000D0373" w:rsidRPr="00883AD4">
        <w:rPr>
          <w:rFonts w:ascii="Arial Narrow" w:hAnsi="Arial Narrow" w:cs="Arial"/>
          <w:sz w:val="24"/>
          <w:szCs w:val="24"/>
        </w:rPr>
        <w:t xml:space="preserve">contracts with public authorities </w:t>
      </w:r>
      <w:r w:rsidR="002B7BC5" w:rsidRPr="00883AD4">
        <w:rPr>
          <w:rFonts w:ascii="Arial Narrow" w:hAnsi="Arial Narrow" w:cs="Arial"/>
          <w:sz w:val="24"/>
          <w:szCs w:val="24"/>
        </w:rPr>
        <w:t xml:space="preserve">to deliver services. </w:t>
      </w:r>
      <w:r>
        <w:rPr>
          <w:rFonts w:ascii="Arial Narrow" w:hAnsi="Arial Narrow" w:cs="Arial"/>
          <w:sz w:val="24"/>
          <w:szCs w:val="24"/>
        </w:rPr>
        <w:t>ECHR</w:t>
      </w:r>
      <w:r w:rsidR="002B7BC5" w:rsidRPr="00883AD4">
        <w:rPr>
          <w:rFonts w:ascii="Arial Narrow" w:hAnsi="Arial Narrow" w:cs="Arial"/>
          <w:sz w:val="24"/>
          <w:szCs w:val="24"/>
        </w:rPr>
        <w:t xml:space="preserve"> rights on their own, are necessarily broad and </w:t>
      </w:r>
      <w:r>
        <w:rPr>
          <w:rFonts w:ascii="Arial Narrow" w:hAnsi="Arial Narrow" w:cs="Arial"/>
          <w:sz w:val="24"/>
          <w:szCs w:val="24"/>
        </w:rPr>
        <w:t>high level</w:t>
      </w:r>
      <w:r w:rsidR="00A0223D" w:rsidRPr="00883AD4">
        <w:rPr>
          <w:rFonts w:ascii="Arial Narrow" w:hAnsi="Arial Narrow" w:cs="Arial"/>
          <w:sz w:val="24"/>
          <w:szCs w:val="24"/>
        </w:rPr>
        <w:t xml:space="preserve">. The HRA case law makes the implications much clearer </w:t>
      </w:r>
      <w:r w:rsidR="00C874DE" w:rsidRPr="00883AD4">
        <w:rPr>
          <w:rFonts w:ascii="Arial Narrow" w:hAnsi="Arial Narrow" w:cs="Arial"/>
          <w:sz w:val="24"/>
          <w:szCs w:val="24"/>
        </w:rPr>
        <w:t>so that they directly impact service provision</w:t>
      </w:r>
      <w:r w:rsidR="00A0223D" w:rsidRPr="00883AD4">
        <w:rPr>
          <w:rFonts w:ascii="Arial Narrow" w:hAnsi="Arial Narrow" w:cs="Arial"/>
          <w:sz w:val="24"/>
          <w:szCs w:val="24"/>
        </w:rPr>
        <w:t xml:space="preserve">. </w:t>
      </w:r>
      <w:r w:rsidR="00523305" w:rsidRPr="00883AD4">
        <w:rPr>
          <w:rFonts w:ascii="Arial Narrow" w:hAnsi="Arial Narrow" w:cs="Arial"/>
          <w:sz w:val="24"/>
          <w:szCs w:val="24"/>
        </w:rPr>
        <w:t xml:space="preserve">For example, clarity on application of the HRA las led </w:t>
      </w:r>
      <w:proofErr w:type="gramStart"/>
      <w:r w:rsidR="00523305" w:rsidRPr="00883AD4">
        <w:rPr>
          <w:rFonts w:ascii="Arial Narrow" w:hAnsi="Arial Narrow" w:cs="Arial"/>
          <w:sz w:val="24"/>
          <w:szCs w:val="24"/>
        </w:rPr>
        <w:t>to:</w:t>
      </w:r>
      <w:proofErr w:type="gramEnd"/>
      <w:r w:rsidR="00523305" w:rsidRPr="00883AD4">
        <w:rPr>
          <w:rFonts w:ascii="Arial Narrow" w:hAnsi="Arial Narrow" w:cs="Arial"/>
          <w:sz w:val="24"/>
          <w:szCs w:val="24"/>
        </w:rPr>
        <w:t xml:space="preserve"> the right to family life shaping care home visiting policies and arrangements for double rooms for spouses/partners; the right to a fair trial has led to improved employer disciplinary hearing processes; the right to vote has led to campaigning for more voter booths </w:t>
      </w:r>
      <w:r w:rsidR="00E6492E" w:rsidRPr="00883AD4">
        <w:rPr>
          <w:rFonts w:ascii="Arial Narrow" w:hAnsi="Arial Narrow" w:cs="Arial"/>
          <w:sz w:val="24"/>
          <w:szCs w:val="24"/>
        </w:rPr>
        <w:t xml:space="preserve">that are accessible to people who use a wheelchair. </w:t>
      </w:r>
      <w:r>
        <w:rPr>
          <w:rFonts w:ascii="Arial Narrow" w:hAnsi="Arial Narrow" w:cs="Arial"/>
          <w:sz w:val="24"/>
          <w:szCs w:val="24"/>
        </w:rPr>
        <w:t>We note that, relevant to Theme 1, this legal certainty is also only enhanced by referral to the greater body of ECtHR case law.</w:t>
      </w:r>
    </w:p>
    <w:p w14:paraId="117B7097" w14:textId="76387AAF" w:rsidR="00A0223D" w:rsidRPr="00883AD4" w:rsidRDefault="00A0223D" w:rsidP="00A0223D">
      <w:pPr>
        <w:pStyle w:val="ListParagraph"/>
        <w:numPr>
          <w:ilvl w:val="0"/>
          <w:numId w:val="5"/>
        </w:numPr>
        <w:rPr>
          <w:rFonts w:ascii="Arial Narrow" w:hAnsi="Arial Narrow" w:cs="Arial"/>
          <w:sz w:val="24"/>
          <w:szCs w:val="24"/>
        </w:rPr>
      </w:pPr>
      <w:r w:rsidRPr="00883AD4">
        <w:rPr>
          <w:rFonts w:ascii="Arial Narrow" w:hAnsi="Arial Narrow" w:cs="Arial"/>
          <w:sz w:val="24"/>
          <w:szCs w:val="24"/>
        </w:rPr>
        <w:t>‘</w:t>
      </w:r>
      <w:r w:rsidRPr="00883AD4">
        <w:rPr>
          <w:rFonts w:ascii="Arial Narrow" w:hAnsi="Arial Narrow" w:cs="Arial"/>
          <w:b/>
          <w:bCs/>
          <w:sz w:val="24"/>
          <w:szCs w:val="24"/>
        </w:rPr>
        <w:t xml:space="preserve">Strike down’ power has been used sparingly and with positive </w:t>
      </w:r>
      <w:proofErr w:type="gramStart"/>
      <w:r w:rsidRPr="00883AD4">
        <w:rPr>
          <w:rFonts w:ascii="Arial Narrow" w:hAnsi="Arial Narrow" w:cs="Arial"/>
          <w:b/>
          <w:bCs/>
          <w:sz w:val="24"/>
          <w:szCs w:val="24"/>
        </w:rPr>
        <w:t>impact</w:t>
      </w:r>
      <w:proofErr w:type="gramEnd"/>
    </w:p>
    <w:p w14:paraId="570E3F9F" w14:textId="4E08567B" w:rsidR="00B076BE" w:rsidRPr="00883AD4" w:rsidRDefault="00007E47" w:rsidP="00B076BE">
      <w:pPr>
        <w:rPr>
          <w:rFonts w:ascii="Arial Narrow" w:hAnsi="Arial Narrow" w:cs="Arial"/>
          <w:sz w:val="24"/>
          <w:szCs w:val="24"/>
        </w:rPr>
      </w:pPr>
      <w:r>
        <w:rPr>
          <w:rFonts w:ascii="Arial Narrow" w:hAnsi="Arial Narrow" w:cs="Arial"/>
          <w:sz w:val="24"/>
          <w:szCs w:val="24"/>
        </w:rPr>
        <w:t>T</w:t>
      </w:r>
      <w:r w:rsidR="00B076BE" w:rsidRPr="00883AD4">
        <w:rPr>
          <w:rFonts w:ascii="Arial Narrow" w:hAnsi="Arial Narrow" w:cs="Arial"/>
          <w:sz w:val="24"/>
          <w:szCs w:val="24"/>
        </w:rPr>
        <w:t>here is a stronger compatibility check within the Scottish human rights framework</w:t>
      </w:r>
      <w:r w:rsidR="00E6492E" w:rsidRPr="00883AD4">
        <w:rPr>
          <w:rFonts w:ascii="Arial Narrow" w:hAnsi="Arial Narrow" w:cs="Arial"/>
          <w:sz w:val="24"/>
          <w:szCs w:val="24"/>
        </w:rPr>
        <w:t>, where</w:t>
      </w:r>
      <w:r w:rsidR="00B076BE" w:rsidRPr="00883AD4">
        <w:rPr>
          <w:rFonts w:ascii="Arial Narrow" w:hAnsi="Arial Narrow" w:cs="Arial"/>
          <w:sz w:val="24"/>
          <w:szCs w:val="24"/>
        </w:rPr>
        <w:t xml:space="preserve"> </w:t>
      </w:r>
      <w:r w:rsidR="00A0223D" w:rsidRPr="00883AD4">
        <w:rPr>
          <w:rFonts w:ascii="Arial Narrow" w:hAnsi="Arial Narrow" w:cs="Arial"/>
          <w:sz w:val="24"/>
          <w:szCs w:val="24"/>
        </w:rPr>
        <w:t xml:space="preserve">courts </w:t>
      </w:r>
      <w:r w:rsidR="00B076BE" w:rsidRPr="00883AD4">
        <w:rPr>
          <w:rFonts w:ascii="Arial Narrow" w:hAnsi="Arial Narrow" w:cs="Arial"/>
          <w:sz w:val="24"/>
          <w:szCs w:val="24"/>
        </w:rPr>
        <w:t>can</w:t>
      </w:r>
      <w:r w:rsidR="00A0223D" w:rsidRPr="00883AD4">
        <w:rPr>
          <w:rFonts w:ascii="Arial Narrow" w:hAnsi="Arial Narrow" w:cs="Arial"/>
          <w:sz w:val="24"/>
          <w:szCs w:val="24"/>
        </w:rPr>
        <w:t xml:space="preserve"> ‘strike down’ parts or </w:t>
      </w:r>
      <w:proofErr w:type="gramStart"/>
      <w:r w:rsidR="00A0223D" w:rsidRPr="00883AD4">
        <w:rPr>
          <w:rFonts w:ascii="Arial Narrow" w:hAnsi="Arial Narrow" w:cs="Arial"/>
          <w:sz w:val="24"/>
          <w:szCs w:val="24"/>
        </w:rPr>
        <w:t>all of</w:t>
      </w:r>
      <w:proofErr w:type="gramEnd"/>
      <w:r w:rsidR="00A0223D" w:rsidRPr="00883AD4">
        <w:rPr>
          <w:rFonts w:ascii="Arial Narrow" w:hAnsi="Arial Narrow" w:cs="Arial"/>
          <w:sz w:val="24"/>
          <w:szCs w:val="24"/>
        </w:rPr>
        <w:t xml:space="preserve"> Scottish Parliament</w:t>
      </w:r>
      <w:r w:rsidR="00B076BE" w:rsidRPr="00883AD4">
        <w:rPr>
          <w:rFonts w:ascii="Arial Narrow" w:hAnsi="Arial Narrow" w:cs="Arial"/>
          <w:sz w:val="24"/>
          <w:szCs w:val="24"/>
        </w:rPr>
        <w:t xml:space="preserve"> Acts</w:t>
      </w:r>
      <w:r w:rsidR="00A0223D" w:rsidRPr="00883AD4">
        <w:rPr>
          <w:rFonts w:ascii="Arial Narrow" w:hAnsi="Arial Narrow" w:cs="Arial"/>
          <w:sz w:val="24"/>
          <w:szCs w:val="24"/>
        </w:rPr>
        <w:t xml:space="preserve"> that are </w:t>
      </w:r>
      <w:proofErr w:type="spellStart"/>
      <w:r w:rsidR="00DB6A5A" w:rsidRPr="00883AD4">
        <w:rPr>
          <w:rFonts w:ascii="Arial Narrow" w:hAnsi="Arial Narrow" w:cs="Arial"/>
          <w:sz w:val="24"/>
          <w:szCs w:val="24"/>
        </w:rPr>
        <w:t>o</w:t>
      </w:r>
      <w:r w:rsidR="00A0223D" w:rsidRPr="00883AD4">
        <w:rPr>
          <w:rFonts w:ascii="Arial Narrow" w:hAnsi="Arial Narrow" w:cs="Arial"/>
          <w:sz w:val="24"/>
          <w:szCs w:val="24"/>
        </w:rPr>
        <w:t>utwith</w:t>
      </w:r>
      <w:proofErr w:type="spellEnd"/>
      <w:r w:rsidR="00A0223D" w:rsidRPr="00883AD4">
        <w:rPr>
          <w:rFonts w:ascii="Arial Narrow" w:hAnsi="Arial Narrow" w:cs="Arial"/>
          <w:sz w:val="24"/>
          <w:szCs w:val="24"/>
        </w:rPr>
        <w:t xml:space="preserve"> their legislative competence with virtue of the fact that they do not comply with Convention rights</w:t>
      </w:r>
      <w:r w:rsidR="00B076BE" w:rsidRPr="00883AD4">
        <w:rPr>
          <w:rFonts w:ascii="Arial Narrow" w:hAnsi="Arial Narrow" w:cs="Arial"/>
          <w:sz w:val="24"/>
          <w:szCs w:val="24"/>
        </w:rPr>
        <w:t xml:space="preserve">.  We consider that this compatibility check has </w:t>
      </w:r>
      <w:r w:rsidR="00DB6A5A" w:rsidRPr="00883AD4">
        <w:rPr>
          <w:rFonts w:ascii="Arial Narrow" w:hAnsi="Arial Narrow" w:cs="Arial"/>
          <w:sz w:val="24"/>
          <w:szCs w:val="24"/>
        </w:rPr>
        <w:t>been a positive and important part of the HRA’s operation in Scottish law and policy making</w:t>
      </w:r>
      <w:r w:rsidR="00E6492E" w:rsidRPr="00883AD4">
        <w:rPr>
          <w:rFonts w:ascii="Arial Narrow" w:hAnsi="Arial Narrow" w:cs="Arial"/>
          <w:sz w:val="24"/>
          <w:szCs w:val="24"/>
        </w:rPr>
        <w:t xml:space="preserve"> - </w:t>
      </w:r>
      <w:r w:rsidR="00B076BE" w:rsidRPr="00883AD4">
        <w:rPr>
          <w:rFonts w:ascii="Arial Narrow" w:hAnsi="Arial Narrow" w:cs="Arial"/>
          <w:sz w:val="24"/>
          <w:szCs w:val="24"/>
        </w:rPr>
        <w:t>i</w:t>
      </w:r>
      <w:r w:rsidR="00DB6A5A" w:rsidRPr="00883AD4">
        <w:rPr>
          <w:rFonts w:ascii="Arial Narrow" w:hAnsi="Arial Narrow" w:cs="Arial"/>
          <w:sz w:val="24"/>
          <w:szCs w:val="24"/>
        </w:rPr>
        <w:t xml:space="preserve">t has only been used rarely but </w:t>
      </w:r>
      <w:r w:rsidR="004E07EE" w:rsidRPr="00883AD4">
        <w:rPr>
          <w:rFonts w:ascii="Arial Narrow" w:hAnsi="Arial Narrow" w:cs="Arial"/>
          <w:sz w:val="24"/>
          <w:szCs w:val="24"/>
        </w:rPr>
        <w:t xml:space="preserve">has been used </w:t>
      </w:r>
      <w:r w:rsidR="00DB6A5A" w:rsidRPr="00883AD4">
        <w:rPr>
          <w:rFonts w:ascii="Arial Narrow" w:hAnsi="Arial Narrow" w:cs="Arial"/>
          <w:sz w:val="24"/>
          <w:szCs w:val="24"/>
        </w:rPr>
        <w:t xml:space="preserve">effectively.  Courts </w:t>
      </w:r>
      <w:r w:rsidR="00B076BE" w:rsidRPr="00883AD4">
        <w:rPr>
          <w:rFonts w:ascii="Arial Narrow" w:hAnsi="Arial Narrow" w:cs="Arial"/>
          <w:sz w:val="24"/>
          <w:szCs w:val="24"/>
        </w:rPr>
        <w:t>have been</w:t>
      </w:r>
      <w:r w:rsidR="00DB6A5A" w:rsidRPr="00883AD4">
        <w:rPr>
          <w:rFonts w:ascii="Arial Narrow" w:hAnsi="Arial Narrow" w:cs="Arial"/>
          <w:sz w:val="24"/>
          <w:szCs w:val="24"/>
        </w:rPr>
        <w:t xml:space="preserve"> cautious and slow to make any decisions of incompatibility</w:t>
      </w:r>
      <w:r w:rsidR="00E6492E" w:rsidRPr="00883AD4">
        <w:rPr>
          <w:rFonts w:ascii="Arial Narrow" w:hAnsi="Arial Narrow" w:cs="Arial"/>
          <w:sz w:val="24"/>
          <w:szCs w:val="24"/>
        </w:rPr>
        <w:t>, but it has n</w:t>
      </w:r>
      <w:r w:rsidR="00DB6A5A" w:rsidRPr="00883AD4">
        <w:rPr>
          <w:rFonts w:ascii="Arial Narrow" w:hAnsi="Arial Narrow" w:cs="Arial"/>
          <w:sz w:val="24"/>
          <w:szCs w:val="24"/>
        </w:rPr>
        <w:t xml:space="preserve">onetheless </w:t>
      </w:r>
      <w:r w:rsidR="00E6492E" w:rsidRPr="00883AD4">
        <w:rPr>
          <w:rFonts w:ascii="Arial Narrow" w:hAnsi="Arial Narrow" w:cs="Arial"/>
          <w:sz w:val="24"/>
          <w:szCs w:val="24"/>
        </w:rPr>
        <w:t>been</w:t>
      </w:r>
      <w:r w:rsidR="004E07EE" w:rsidRPr="00883AD4">
        <w:rPr>
          <w:rFonts w:ascii="Arial Narrow" w:hAnsi="Arial Narrow" w:cs="Arial"/>
          <w:sz w:val="24"/>
          <w:szCs w:val="24"/>
        </w:rPr>
        <w:t xml:space="preserve"> </w:t>
      </w:r>
      <w:r w:rsidR="00DB6A5A" w:rsidRPr="00883AD4">
        <w:rPr>
          <w:rFonts w:ascii="Arial Narrow" w:hAnsi="Arial Narrow" w:cs="Arial"/>
          <w:sz w:val="24"/>
          <w:szCs w:val="24"/>
        </w:rPr>
        <w:t xml:space="preserve">an important tool </w:t>
      </w:r>
      <w:r w:rsidR="004E07EE" w:rsidRPr="00883AD4">
        <w:rPr>
          <w:rFonts w:ascii="Arial Narrow" w:hAnsi="Arial Narrow" w:cs="Arial"/>
          <w:sz w:val="24"/>
          <w:szCs w:val="24"/>
        </w:rPr>
        <w:t xml:space="preserve">and ultimate ‘emergency stop’ on legislation which will gravely impact people’s human rights. </w:t>
      </w:r>
      <w:r w:rsidR="00B076BE" w:rsidRPr="00883AD4">
        <w:rPr>
          <w:rFonts w:ascii="Arial Narrow" w:hAnsi="Arial Narrow" w:cs="Arial"/>
          <w:sz w:val="24"/>
          <w:szCs w:val="24"/>
        </w:rPr>
        <w:t xml:space="preserve">Whilst it has on occasion forced Government to have to change and amend law and policy and priorities, a mature executive and legislature recognises the value of having this ultimate check on serious rights infringements.  </w:t>
      </w:r>
    </w:p>
    <w:p w14:paraId="02931068" w14:textId="18695D8D" w:rsidR="00B076BE" w:rsidRPr="00883AD4" w:rsidRDefault="004E07EE" w:rsidP="00A0223D">
      <w:pPr>
        <w:rPr>
          <w:rFonts w:ascii="Arial Narrow" w:hAnsi="Arial Narrow" w:cs="Arial"/>
          <w:sz w:val="24"/>
          <w:szCs w:val="24"/>
        </w:rPr>
      </w:pPr>
      <w:r w:rsidRPr="00883AD4">
        <w:rPr>
          <w:rFonts w:ascii="Arial Narrow" w:hAnsi="Arial Narrow" w:cs="Arial"/>
          <w:sz w:val="24"/>
          <w:szCs w:val="24"/>
        </w:rPr>
        <w:t xml:space="preserve">We note that, far from questioning whether this should continue, the Scottish Government during consultation on the UNCRC Bill, and the First Minister’s Advisory Group on Human Rights Leadership, considered if there was any way that they could introduce this also for the </w:t>
      </w:r>
      <w:r w:rsidR="00B076BE" w:rsidRPr="00883AD4">
        <w:rPr>
          <w:rFonts w:ascii="Arial Narrow" w:hAnsi="Arial Narrow" w:cs="Arial"/>
          <w:sz w:val="24"/>
          <w:szCs w:val="24"/>
        </w:rPr>
        <w:t xml:space="preserve">new </w:t>
      </w:r>
      <w:r w:rsidRPr="00883AD4">
        <w:rPr>
          <w:rFonts w:ascii="Arial Narrow" w:hAnsi="Arial Narrow" w:cs="Arial"/>
          <w:sz w:val="24"/>
          <w:szCs w:val="24"/>
        </w:rPr>
        <w:t xml:space="preserve">human </w:t>
      </w:r>
      <w:proofErr w:type="gramStart"/>
      <w:r w:rsidRPr="00883AD4">
        <w:rPr>
          <w:rFonts w:ascii="Arial Narrow" w:hAnsi="Arial Narrow" w:cs="Arial"/>
          <w:sz w:val="24"/>
          <w:szCs w:val="24"/>
        </w:rPr>
        <w:t>rights</w:t>
      </w:r>
      <w:proofErr w:type="gramEnd"/>
      <w:r w:rsidRPr="00883AD4">
        <w:rPr>
          <w:rFonts w:ascii="Arial Narrow" w:hAnsi="Arial Narrow" w:cs="Arial"/>
          <w:sz w:val="24"/>
          <w:szCs w:val="24"/>
        </w:rPr>
        <w:t xml:space="preserve"> statutory frame</w:t>
      </w:r>
      <w:r w:rsidR="006F24E7" w:rsidRPr="00883AD4">
        <w:rPr>
          <w:rFonts w:ascii="Arial Narrow" w:hAnsi="Arial Narrow" w:cs="Arial"/>
          <w:sz w:val="24"/>
          <w:szCs w:val="24"/>
        </w:rPr>
        <w:t>work</w:t>
      </w:r>
      <w:r w:rsidRPr="00883AD4">
        <w:rPr>
          <w:rFonts w:ascii="Arial Narrow" w:hAnsi="Arial Narrow" w:cs="Arial"/>
          <w:sz w:val="24"/>
          <w:szCs w:val="24"/>
        </w:rPr>
        <w:t xml:space="preserve"> in Scotland. </w:t>
      </w:r>
      <w:r w:rsidR="00FB4CCE" w:rsidRPr="00883AD4">
        <w:rPr>
          <w:rFonts w:ascii="Arial Narrow" w:hAnsi="Arial Narrow" w:cs="Arial"/>
          <w:sz w:val="24"/>
          <w:szCs w:val="24"/>
        </w:rPr>
        <w:t xml:space="preserve">Although it was </w:t>
      </w:r>
      <w:r w:rsidR="00064D76" w:rsidRPr="00883AD4">
        <w:rPr>
          <w:rFonts w:ascii="Arial Narrow" w:hAnsi="Arial Narrow" w:cs="Arial"/>
          <w:sz w:val="24"/>
          <w:szCs w:val="24"/>
        </w:rPr>
        <w:t xml:space="preserve">ultimately </w:t>
      </w:r>
      <w:r w:rsidR="00FB4CCE" w:rsidRPr="00883AD4">
        <w:rPr>
          <w:rFonts w:ascii="Arial Narrow" w:hAnsi="Arial Narrow" w:cs="Arial"/>
          <w:sz w:val="24"/>
          <w:szCs w:val="24"/>
        </w:rPr>
        <w:t xml:space="preserve">deemed to be </w:t>
      </w:r>
      <w:proofErr w:type="spellStart"/>
      <w:r w:rsidR="00FB4CCE" w:rsidRPr="00883AD4">
        <w:rPr>
          <w:rFonts w:ascii="Arial Narrow" w:hAnsi="Arial Narrow" w:cs="Arial"/>
          <w:sz w:val="24"/>
          <w:szCs w:val="24"/>
        </w:rPr>
        <w:t>outwith</w:t>
      </w:r>
      <w:proofErr w:type="spellEnd"/>
      <w:r w:rsidR="00FB4CCE" w:rsidRPr="00883AD4">
        <w:rPr>
          <w:rFonts w:ascii="Arial Narrow" w:hAnsi="Arial Narrow" w:cs="Arial"/>
          <w:sz w:val="24"/>
          <w:szCs w:val="24"/>
        </w:rPr>
        <w:t xml:space="preserve"> the Scottish Parliament </w:t>
      </w:r>
      <w:r w:rsidR="00FB4CCE" w:rsidRPr="00883AD4">
        <w:rPr>
          <w:rFonts w:ascii="Arial Narrow" w:hAnsi="Arial Narrow" w:cs="Arial"/>
          <w:sz w:val="24"/>
          <w:szCs w:val="24"/>
        </w:rPr>
        <w:lastRenderedPageBreak/>
        <w:t xml:space="preserve">legislative competence, nonetheless it is of note that </w:t>
      </w:r>
      <w:r w:rsidR="00B076BE" w:rsidRPr="00883AD4">
        <w:rPr>
          <w:rFonts w:ascii="Arial Narrow" w:hAnsi="Arial Narrow" w:cs="Arial"/>
          <w:sz w:val="24"/>
          <w:szCs w:val="24"/>
        </w:rPr>
        <w:t xml:space="preserve">extending the ‘strike down’ power was </w:t>
      </w:r>
      <w:r w:rsidR="00FB4CCE" w:rsidRPr="00883AD4">
        <w:rPr>
          <w:rFonts w:ascii="Arial Narrow" w:hAnsi="Arial Narrow" w:cs="Arial"/>
          <w:sz w:val="24"/>
          <w:szCs w:val="24"/>
        </w:rPr>
        <w:t>strongly</w:t>
      </w:r>
      <w:r w:rsidR="00B076BE" w:rsidRPr="00883AD4">
        <w:rPr>
          <w:rFonts w:ascii="Arial Narrow" w:hAnsi="Arial Narrow" w:cs="Arial"/>
          <w:sz w:val="24"/>
          <w:szCs w:val="24"/>
        </w:rPr>
        <w:t xml:space="preserve"> supported by </w:t>
      </w:r>
      <w:r w:rsidR="00FB4CCE" w:rsidRPr="00883AD4">
        <w:rPr>
          <w:rFonts w:ascii="Arial Narrow" w:hAnsi="Arial Narrow" w:cs="Arial"/>
          <w:sz w:val="24"/>
          <w:szCs w:val="24"/>
        </w:rPr>
        <w:t xml:space="preserve">most of Scottish </w:t>
      </w:r>
      <w:r w:rsidR="00B076BE" w:rsidRPr="00883AD4">
        <w:rPr>
          <w:rFonts w:ascii="Arial Narrow" w:hAnsi="Arial Narrow" w:cs="Arial"/>
          <w:sz w:val="24"/>
          <w:szCs w:val="24"/>
        </w:rPr>
        <w:t>civil society</w:t>
      </w:r>
      <w:r w:rsidR="00064D76" w:rsidRPr="00883AD4">
        <w:rPr>
          <w:rFonts w:ascii="Arial Narrow" w:hAnsi="Arial Narrow" w:cs="Arial"/>
          <w:sz w:val="24"/>
          <w:szCs w:val="24"/>
        </w:rPr>
        <w:t xml:space="preserve"> and generally seen as a positive aspect of the HRA framework that should be replicated if possible</w:t>
      </w:r>
      <w:r w:rsidR="00B076BE" w:rsidRPr="00883AD4">
        <w:rPr>
          <w:rFonts w:ascii="Arial Narrow" w:hAnsi="Arial Narrow" w:cs="Arial"/>
          <w:sz w:val="24"/>
          <w:szCs w:val="24"/>
        </w:rPr>
        <w:t>.</w:t>
      </w:r>
    </w:p>
    <w:p w14:paraId="6FC777D8" w14:textId="6DD6C711" w:rsidR="00A0223D" w:rsidRDefault="00B076BE" w:rsidP="00A0223D">
      <w:pPr>
        <w:rPr>
          <w:rFonts w:ascii="Arial Narrow" w:hAnsi="Arial Narrow" w:cs="Arial"/>
          <w:sz w:val="24"/>
          <w:szCs w:val="24"/>
        </w:rPr>
      </w:pPr>
      <w:r w:rsidRPr="00883AD4">
        <w:rPr>
          <w:rFonts w:ascii="Arial Narrow" w:hAnsi="Arial Narrow" w:cs="Arial"/>
          <w:sz w:val="24"/>
          <w:szCs w:val="24"/>
        </w:rPr>
        <w:t>We also consider from our involvement in policy and law consultations and discussions with government, that t</w:t>
      </w:r>
      <w:r w:rsidR="006F24E7" w:rsidRPr="00883AD4">
        <w:rPr>
          <w:rFonts w:ascii="Arial Narrow" w:hAnsi="Arial Narrow" w:cs="Arial"/>
          <w:sz w:val="24"/>
          <w:szCs w:val="24"/>
        </w:rPr>
        <w:t xml:space="preserve">his ‘strike down’ power </w:t>
      </w:r>
      <w:r w:rsidRPr="00883AD4">
        <w:rPr>
          <w:rFonts w:ascii="Arial Narrow" w:hAnsi="Arial Narrow" w:cs="Arial"/>
          <w:sz w:val="24"/>
          <w:szCs w:val="24"/>
        </w:rPr>
        <w:t>has hel</w:t>
      </w:r>
      <w:r w:rsidR="00FB4CCE" w:rsidRPr="00883AD4">
        <w:rPr>
          <w:rFonts w:ascii="Arial Narrow" w:hAnsi="Arial Narrow" w:cs="Arial"/>
          <w:sz w:val="24"/>
          <w:szCs w:val="24"/>
        </w:rPr>
        <w:t>p</w:t>
      </w:r>
      <w:r w:rsidRPr="00883AD4">
        <w:rPr>
          <w:rFonts w:ascii="Arial Narrow" w:hAnsi="Arial Narrow" w:cs="Arial"/>
          <w:sz w:val="24"/>
          <w:szCs w:val="24"/>
        </w:rPr>
        <w:t>ed to</w:t>
      </w:r>
      <w:r w:rsidR="006F24E7" w:rsidRPr="00883AD4">
        <w:rPr>
          <w:rFonts w:ascii="Arial Narrow" w:hAnsi="Arial Narrow" w:cs="Arial"/>
          <w:sz w:val="24"/>
          <w:szCs w:val="24"/>
        </w:rPr>
        <w:t xml:space="preserve"> ensure that the upstream measures to consider human rights within development of law and policy are taken sufficiently seriously.  For example, in many pre-legislative consultations, the Scottish Government asks for responses to determine any potential human rights impacts, ensuring that these are considered before the law is even written. </w:t>
      </w:r>
      <w:r w:rsidRPr="00883AD4">
        <w:rPr>
          <w:rFonts w:ascii="Arial Narrow" w:hAnsi="Arial Narrow" w:cs="Arial"/>
          <w:sz w:val="24"/>
          <w:szCs w:val="24"/>
        </w:rPr>
        <w:t xml:space="preserve">The Statement of Competence from the Parliament’s Presiding Officer and those in charge of any Bill, ensures that Convention rights are brought into the heart of law making.  </w:t>
      </w:r>
      <w:r w:rsidR="006F24E7" w:rsidRPr="00883AD4">
        <w:rPr>
          <w:rFonts w:ascii="Arial Narrow" w:hAnsi="Arial Narrow" w:cs="Arial"/>
          <w:sz w:val="24"/>
          <w:szCs w:val="24"/>
        </w:rPr>
        <w:t xml:space="preserve">Therefore, the impact of the ‘strike down’ power is not only when it is </w:t>
      </w:r>
      <w:proofErr w:type="gramStart"/>
      <w:r w:rsidR="006F24E7" w:rsidRPr="00883AD4">
        <w:rPr>
          <w:rFonts w:ascii="Arial Narrow" w:hAnsi="Arial Narrow" w:cs="Arial"/>
          <w:sz w:val="24"/>
          <w:szCs w:val="24"/>
        </w:rPr>
        <w:t>actually used</w:t>
      </w:r>
      <w:proofErr w:type="gramEnd"/>
      <w:r w:rsidR="006F24E7" w:rsidRPr="00883AD4">
        <w:rPr>
          <w:rFonts w:ascii="Arial Narrow" w:hAnsi="Arial Narrow" w:cs="Arial"/>
          <w:sz w:val="24"/>
          <w:szCs w:val="24"/>
        </w:rPr>
        <w:t>, but in its part in the overall system of building in human rights considerations at every stage, with the courts as the final guarantor of rights protections.</w:t>
      </w:r>
    </w:p>
    <w:p w14:paraId="639FD14F" w14:textId="3DB773E6" w:rsidR="00833CC4" w:rsidRDefault="000F4E97" w:rsidP="00A0223D">
      <w:pPr>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6704" behindDoc="0" locked="0" layoutInCell="1" allowOverlap="1" wp14:anchorId="6BE75DAC" wp14:editId="416E1CC7">
                <wp:simplePos x="0" y="0"/>
                <wp:positionH relativeFrom="column">
                  <wp:posOffset>-139700</wp:posOffset>
                </wp:positionH>
                <wp:positionV relativeFrom="paragraph">
                  <wp:posOffset>231775</wp:posOffset>
                </wp:positionV>
                <wp:extent cx="6273800" cy="269875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6273800" cy="2698750"/>
                        </a:xfrm>
                        <a:prstGeom prst="rect">
                          <a:avLst/>
                        </a:prstGeom>
                        <a:solidFill>
                          <a:schemeClr val="lt1"/>
                        </a:solidFill>
                        <a:ln w="6350">
                          <a:solidFill>
                            <a:prstClr val="black"/>
                          </a:solidFill>
                        </a:ln>
                      </wps:spPr>
                      <wps:txbx>
                        <w:txbxContent>
                          <w:p w14:paraId="0C35C537" w14:textId="6CBE0B64" w:rsidR="00FC736A" w:rsidRPr="00F33279" w:rsidRDefault="00FC736A">
                            <w:pPr>
                              <w:rPr>
                                <w:rFonts w:ascii="Arial Narrow" w:hAnsi="Arial Narrow"/>
                                <w:b/>
                                <w:bCs/>
                                <w:sz w:val="24"/>
                                <w:szCs w:val="24"/>
                              </w:rPr>
                            </w:pPr>
                            <w:r w:rsidRPr="00F33279">
                              <w:rPr>
                                <w:rFonts w:ascii="Arial Narrow" w:hAnsi="Arial Narrow"/>
                                <w:b/>
                                <w:bCs/>
                                <w:sz w:val="24"/>
                                <w:szCs w:val="24"/>
                              </w:rPr>
                              <w:t>Example</w:t>
                            </w:r>
                            <w:r w:rsidR="00527E71">
                              <w:rPr>
                                <w:rFonts w:ascii="Arial Narrow" w:hAnsi="Arial Narrow"/>
                                <w:b/>
                                <w:bCs/>
                                <w:sz w:val="24"/>
                                <w:szCs w:val="24"/>
                              </w:rPr>
                              <w:t>:</w:t>
                            </w:r>
                            <w:r w:rsidRPr="00F33279">
                              <w:rPr>
                                <w:rFonts w:ascii="Arial Narrow" w:hAnsi="Arial Narrow"/>
                                <w:b/>
                                <w:bCs/>
                                <w:sz w:val="24"/>
                                <w:szCs w:val="24"/>
                              </w:rPr>
                              <w:t xml:space="preserve"> ‘named person</w:t>
                            </w:r>
                            <w:r w:rsidR="00AF2C32" w:rsidRPr="00F33279">
                              <w:rPr>
                                <w:rFonts w:ascii="Arial Narrow" w:hAnsi="Arial Narrow"/>
                                <w:b/>
                                <w:bCs/>
                                <w:sz w:val="24"/>
                                <w:szCs w:val="24"/>
                              </w:rPr>
                              <w:t>’ case</w:t>
                            </w:r>
                          </w:p>
                          <w:p w14:paraId="7E54DE12" w14:textId="345933E4" w:rsidR="00AF2C32" w:rsidRPr="00F33279" w:rsidRDefault="00280C85">
                            <w:pPr>
                              <w:rPr>
                                <w:rFonts w:ascii="Arial Narrow" w:hAnsi="Arial Narrow"/>
                                <w:color w:val="151515"/>
                                <w:sz w:val="24"/>
                                <w:szCs w:val="24"/>
                                <w:shd w:val="clear" w:color="auto" w:fill="FFFFFF"/>
                              </w:rPr>
                            </w:pPr>
                            <w:r w:rsidRPr="00F33279">
                              <w:rPr>
                                <w:rFonts w:ascii="Arial Narrow" w:hAnsi="Arial Narrow"/>
                                <w:color w:val="151515"/>
                                <w:sz w:val="24"/>
                                <w:szCs w:val="24"/>
                                <w:shd w:val="clear" w:color="auto" w:fill="FFFFFF"/>
                              </w:rPr>
                              <w:t>When the Named Person Scheme was proposed in the Children and Young People (Scotland) Bill, many organisations raised their concerns about the risk of sharing information about a child without their consent</w:t>
                            </w:r>
                            <w:r w:rsidR="00F12D79" w:rsidRPr="00F33279">
                              <w:rPr>
                                <w:rFonts w:ascii="Arial Narrow" w:hAnsi="Arial Narrow"/>
                                <w:color w:val="151515"/>
                                <w:sz w:val="24"/>
                                <w:szCs w:val="24"/>
                                <w:shd w:val="clear" w:color="auto" w:fill="FFFFFF"/>
                              </w:rPr>
                              <w:t xml:space="preserve">. There was concern that such law might </w:t>
                            </w:r>
                            <w:r w:rsidRPr="00F33279">
                              <w:rPr>
                                <w:rFonts w:ascii="Arial Narrow" w:hAnsi="Arial Narrow"/>
                                <w:color w:val="151515"/>
                                <w:sz w:val="24"/>
                                <w:szCs w:val="24"/>
                                <w:shd w:val="clear" w:color="auto" w:fill="FFFFFF"/>
                              </w:rPr>
                              <w:t>make children and young people reluctant to access confidential services</w:t>
                            </w:r>
                            <w:r w:rsidR="00B9027A" w:rsidRPr="00F33279">
                              <w:rPr>
                                <w:rFonts w:ascii="Arial Narrow" w:hAnsi="Arial Narrow"/>
                                <w:color w:val="151515"/>
                                <w:sz w:val="24"/>
                                <w:szCs w:val="24"/>
                                <w:shd w:val="clear" w:color="auto" w:fill="FFFFFF"/>
                              </w:rPr>
                              <w:t>, worried that their personal information would be shared widely without their consent.</w:t>
                            </w:r>
                          </w:p>
                          <w:p w14:paraId="3079CD4C" w14:textId="75EEF4E7" w:rsidR="008E48AE" w:rsidRPr="00F33279" w:rsidRDefault="00B9027A">
                            <w:pPr>
                              <w:rPr>
                                <w:rFonts w:ascii="Arial Narrow" w:hAnsi="Arial Narrow"/>
                                <w:color w:val="151515"/>
                                <w:sz w:val="24"/>
                                <w:szCs w:val="24"/>
                                <w:shd w:val="clear" w:color="auto" w:fill="FFFFFF"/>
                              </w:rPr>
                            </w:pPr>
                            <w:r w:rsidRPr="00F33279">
                              <w:rPr>
                                <w:rFonts w:ascii="Arial Narrow" w:hAnsi="Arial Narrow"/>
                                <w:color w:val="151515"/>
                                <w:sz w:val="24"/>
                                <w:szCs w:val="24"/>
                                <w:shd w:val="clear" w:color="auto" w:fill="FFFFFF"/>
                              </w:rPr>
                              <w:t xml:space="preserve">These concerns were not </w:t>
                            </w:r>
                            <w:r w:rsidR="00922AA5" w:rsidRPr="00F33279">
                              <w:rPr>
                                <w:rFonts w:ascii="Arial Narrow" w:hAnsi="Arial Narrow"/>
                                <w:color w:val="151515"/>
                                <w:sz w:val="24"/>
                                <w:szCs w:val="24"/>
                                <w:shd w:val="clear" w:color="auto" w:fill="FFFFFF"/>
                              </w:rPr>
                              <w:t>listened to during the Bill pre-legislative or parliamentary stages, despite them raising significant human rights issues.</w:t>
                            </w:r>
                            <w:r w:rsidR="00C53E95" w:rsidRPr="00F33279">
                              <w:rPr>
                                <w:rFonts w:ascii="Arial Narrow" w:hAnsi="Arial Narrow"/>
                                <w:color w:val="151515"/>
                                <w:sz w:val="24"/>
                                <w:szCs w:val="24"/>
                                <w:shd w:val="clear" w:color="auto" w:fill="FFFFFF"/>
                              </w:rPr>
                              <w:t xml:space="preserve"> The </w:t>
                            </w:r>
                            <w:r w:rsidR="00EB5543" w:rsidRPr="00F33279">
                              <w:rPr>
                                <w:rFonts w:ascii="Arial Narrow" w:hAnsi="Arial Narrow"/>
                                <w:color w:val="151515"/>
                                <w:sz w:val="24"/>
                                <w:szCs w:val="24"/>
                                <w:shd w:val="clear" w:color="auto" w:fill="FFFFFF"/>
                              </w:rPr>
                              <w:t>law was challenged in the Supreme Court</w:t>
                            </w:r>
                            <w:r w:rsidR="005106FB">
                              <w:rPr>
                                <w:rFonts w:ascii="Arial Narrow" w:hAnsi="Arial Narrow"/>
                                <w:color w:val="151515"/>
                                <w:sz w:val="24"/>
                                <w:szCs w:val="24"/>
                                <w:shd w:val="clear" w:color="auto" w:fill="FFFFFF"/>
                              </w:rPr>
                              <w:t>, and</w:t>
                            </w:r>
                            <w:r w:rsidR="00C53E95" w:rsidRPr="00F33279">
                              <w:rPr>
                                <w:rFonts w:ascii="Arial Narrow" w:hAnsi="Arial Narrow"/>
                                <w:color w:val="151515"/>
                                <w:sz w:val="24"/>
                                <w:szCs w:val="24"/>
                                <w:shd w:val="clear" w:color="auto" w:fill="FFFFFF"/>
                              </w:rPr>
                              <w:t xml:space="preserve"> the information sharing provisions of the Children and Young People (Scotland) Act 2014 </w:t>
                            </w:r>
                            <w:r w:rsidR="00EB5543" w:rsidRPr="00F33279">
                              <w:rPr>
                                <w:rFonts w:ascii="Arial Narrow" w:hAnsi="Arial Narrow"/>
                                <w:color w:val="151515"/>
                                <w:sz w:val="24"/>
                                <w:szCs w:val="24"/>
                                <w:shd w:val="clear" w:color="auto" w:fill="FFFFFF"/>
                              </w:rPr>
                              <w:t xml:space="preserve">were found to be </w:t>
                            </w:r>
                            <w:r w:rsidR="00C53E95" w:rsidRPr="00F33279">
                              <w:rPr>
                                <w:rFonts w:ascii="Arial Narrow" w:hAnsi="Arial Narrow"/>
                                <w:color w:val="151515"/>
                                <w:sz w:val="24"/>
                                <w:szCs w:val="24"/>
                                <w:shd w:val="clear" w:color="auto" w:fill="FFFFFF"/>
                              </w:rPr>
                              <w:t>incompatible with the right to privacy in article 8 of the European Convention on Human Rights. This means the information sharing part of the Named Person scheme cannot be implemented.</w:t>
                            </w:r>
                            <w:r w:rsidR="00067FBB" w:rsidRPr="00F33279">
                              <w:rPr>
                                <w:rFonts w:ascii="Arial Narrow" w:hAnsi="Arial Narrow"/>
                                <w:color w:val="151515"/>
                                <w:sz w:val="24"/>
                                <w:szCs w:val="24"/>
                                <w:shd w:val="clear" w:color="auto" w:fill="FFFFFF"/>
                              </w:rPr>
                              <w:t xml:space="preserve"> </w:t>
                            </w:r>
                            <w:r w:rsidR="008E48AE" w:rsidRPr="00F33279">
                              <w:rPr>
                                <w:rFonts w:ascii="Arial Narrow" w:hAnsi="Arial Narrow"/>
                                <w:color w:val="000000"/>
                                <w:sz w:val="24"/>
                                <w:szCs w:val="24"/>
                                <w:shd w:val="clear" w:color="auto" w:fill="FFFFFF"/>
                              </w:rPr>
                              <w:t xml:space="preserve">There will </w:t>
                            </w:r>
                            <w:r w:rsidR="005C2DAD">
                              <w:rPr>
                                <w:rFonts w:ascii="Arial Narrow" w:hAnsi="Arial Narrow"/>
                                <w:color w:val="000000"/>
                                <w:sz w:val="24"/>
                                <w:szCs w:val="24"/>
                                <w:shd w:val="clear" w:color="auto" w:fill="FFFFFF"/>
                              </w:rPr>
                              <w:t xml:space="preserve">now </w:t>
                            </w:r>
                            <w:r w:rsidR="008E48AE" w:rsidRPr="00F33279">
                              <w:rPr>
                                <w:rFonts w:ascii="Arial Narrow" w:hAnsi="Arial Narrow"/>
                                <w:color w:val="000000"/>
                                <w:sz w:val="24"/>
                                <w:szCs w:val="24"/>
                                <w:shd w:val="clear" w:color="auto" w:fill="FFFFFF"/>
                              </w:rPr>
                              <w:t>not be a mandatory </w:t>
                            </w:r>
                            <w:r w:rsidR="008E48AE" w:rsidRPr="00F33279">
                              <w:rPr>
                                <w:rStyle w:val="mark0z1jl571n"/>
                                <w:rFonts w:ascii="Arial Narrow" w:hAnsi="Arial Narrow"/>
                                <w:color w:val="000000"/>
                                <w:sz w:val="24"/>
                                <w:szCs w:val="24"/>
                                <w:bdr w:val="none" w:sz="0" w:space="0" w:color="auto" w:frame="1"/>
                                <w:shd w:val="clear" w:color="auto" w:fill="FFFFFF"/>
                              </w:rPr>
                              <w:t>named person</w:t>
                            </w:r>
                            <w:r w:rsidR="008E48AE" w:rsidRPr="00F33279">
                              <w:rPr>
                                <w:rFonts w:ascii="Arial Narrow" w:hAnsi="Arial Narrow"/>
                                <w:color w:val="000000"/>
                                <w:sz w:val="24"/>
                                <w:szCs w:val="24"/>
                                <w:shd w:val="clear" w:color="auto" w:fill="FFFFFF"/>
                              </w:rPr>
                              <w:t> scheme. </w:t>
                            </w:r>
                            <w:r w:rsidR="00F33279" w:rsidRPr="00F33279">
                              <w:rPr>
                                <w:rFonts w:ascii="Arial Narrow" w:hAnsi="Arial Narrow"/>
                                <w:color w:val="000000"/>
                                <w:sz w:val="24"/>
                                <w:szCs w:val="24"/>
                                <w:shd w:val="clear" w:color="auto" w:fill="FFFFFF"/>
                              </w:rPr>
                              <w:t>Instead</w:t>
                            </w:r>
                            <w:r w:rsidR="004E3FDC">
                              <w:rPr>
                                <w:rFonts w:ascii="Arial Narrow" w:hAnsi="Arial Narrow"/>
                                <w:color w:val="000000"/>
                                <w:sz w:val="24"/>
                                <w:szCs w:val="24"/>
                                <w:shd w:val="clear" w:color="auto" w:fill="FFFFFF"/>
                              </w:rPr>
                              <w:t>,</w:t>
                            </w:r>
                            <w:r w:rsidR="00F33279" w:rsidRPr="00F33279">
                              <w:rPr>
                                <w:rFonts w:ascii="Arial Narrow" w:hAnsi="Arial Narrow"/>
                                <w:color w:val="000000"/>
                                <w:sz w:val="24"/>
                                <w:szCs w:val="24"/>
                                <w:shd w:val="clear" w:color="auto" w:fill="FFFFFF"/>
                              </w:rPr>
                              <w:t xml:space="preserve"> the Government will produce tools and resources to help all understand the current law around information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75DAC" id="Text Box 6" o:spid="_x0000_s1032" type="#_x0000_t202" style="position:absolute;margin-left:-11pt;margin-top:18.25pt;width:494pt;height:21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a/TQIAAKkEAAAOAAAAZHJzL2Uyb0RvYy54bWysVE1vGjEQvVfqf7B8bxYIIQSxRDRRqkpR&#10;EgmqnI3XC6t6Pa5t2E1/fZ/NQkjSU9WLd778PPNmZqfXba3ZTjlfkcl5/6zHmTKSisqsc/5jefdl&#10;zJkPwhRCk1E5f1GeX88+f5o2dqIGtCFdKMcAYvyksTnfhGAnWeblRtXCn5FVBs6SXC0CVLfOCica&#10;oNc6G/R6o6whV1hHUnkP6+3eyWcJvyyVDI9l6VVgOufILaTTpXMVz2w2FZO1E3ZTyS4N8Q9Z1KIy&#10;ePQIdSuCYFtXfYCqK+nIUxnOJNUZlWUlVaoB1fR776pZbIRVqRaQ4+2RJv//YOXD7smxqsj5iDMj&#10;arRoqdrAvlLLRpGdxvoJghYWYaGFGV0+2D2Msei2dHX8ohwGP3h+OXIbwSSMo8Hl+bgHl4RvMLoa&#10;X14k9rPX69b58E1RzaKQc4fmJU7F7t4HpILQQ0h8zZOuirtK66TEgVE32rGdQKt1SEnixpsobViD&#10;VM7x9AeECH28v9JC/oxlvkWApg2MkZR98VEK7artKOwIW1HxAr4c7efNW3lXAf5e+PAkHAYMPGBp&#10;wiOOUhNyok7ibEPu99/sMR59h5ezBgObc/9rK5ziTH83mIir/nAYJzwpw4vLARR36lmdesy2viEQ&#10;1cd6WpnEGB/0QSwd1c/YrXl8FS5hJN7OeTiIN2G/RthNqebzFISZtiLcm4WVETpyHGldts/C2a6t&#10;ARPxQIfRFpN33d3HxpuG5ttAZZVaH3nes9rRj31I3el2Ny7cqZ6iXv8wsz8AAAD//wMAUEsDBBQA&#10;BgAIAAAAIQC4W74h3gAAAAoBAAAPAAAAZHJzL2Rvd25yZXYueG1sTI/BTsMwEETvSPyDtUjcWqeB&#10;WmmIUwEqXDhREOdt7NoWsR3Fbhr+nuVEj7Mzmn3TbGffs0mPycUgYbUsgOnQReWCkfD58bKogKWM&#10;QWEfg5bwoxNs2+urBmsVz+FdT/tsGJWEVKMEm/NQc546qz2mZRx0IO8YR4+Z5Gi4GvFM5b7nZVEI&#10;7tEF+mBx0M9Wd9/7k5ewezIb01U42l2lnJvmr+ObeZXy9mZ+fACW9Zz/w/CHT+jQEtMhnoJKrJew&#10;KEvakiXciTUwCmyEoMNBwr1YrYG3Db+c0P4CAAD//wMAUEsBAi0AFAAGAAgAAAAhALaDOJL+AAAA&#10;4QEAABMAAAAAAAAAAAAAAAAAAAAAAFtDb250ZW50X1R5cGVzXS54bWxQSwECLQAUAAYACAAAACEA&#10;OP0h/9YAAACUAQAACwAAAAAAAAAAAAAAAAAvAQAAX3JlbHMvLnJlbHNQSwECLQAUAAYACAAAACEA&#10;44/Gv00CAACpBAAADgAAAAAAAAAAAAAAAAAuAgAAZHJzL2Uyb0RvYy54bWxQSwECLQAUAAYACAAA&#10;ACEAuFu+Id4AAAAKAQAADwAAAAAAAAAAAAAAAACnBAAAZHJzL2Rvd25yZXYueG1sUEsFBgAAAAAE&#10;AAQA8wAAALIFAAAAAA==&#10;" fillcolor="white [3201]" strokeweight=".5pt">
                <v:textbox>
                  <w:txbxContent>
                    <w:p w14:paraId="0C35C537" w14:textId="6CBE0B64" w:rsidR="00FC736A" w:rsidRPr="00F33279" w:rsidRDefault="00FC736A">
                      <w:pPr>
                        <w:rPr>
                          <w:rFonts w:ascii="Arial Narrow" w:hAnsi="Arial Narrow"/>
                          <w:b/>
                          <w:bCs/>
                          <w:sz w:val="24"/>
                          <w:szCs w:val="24"/>
                        </w:rPr>
                      </w:pPr>
                      <w:r w:rsidRPr="00F33279">
                        <w:rPr>
                          <w:rFonts w:ascii="Arial Narrow" w:hAnsi="Arial Narrow"/>
                          <w:b/>
                          <w:bCs/>
                          <w:sz w:val="24"/>
                          <w:szCs w:val="24"/>
                        </w:rPr>
                        <w:t>Example</w:t>
                      </w:r>
                      <w:r w:rsidR="00527E71">
                        <w:rPr>
                          <w:rFonts w:ascii="Arial Narrow" w:hAnsi="Arial Narrow"/>
                          <w:b/>
                          <w:bCs/>
                          <w:sz w:val="24"/>
                          <w:szCs w:val="24"/>
                        </w:rPr>
                        <w:t>:</w:t>
                      </w:r>
                      <w:r w:rsidRPr="00F33279">
                        <w:rPr>
                          <w:rFonts w:ascii="Arial Narrow" w:hAnsi="Arial Narrow"/>
                          <w:b/>
                          <w:bCs/>
                          <w:sz w:val="24"/>
                          <w:szCs w:val="24"/>
                        </w:rPr>
                        <w:t xml:space="preserve"> ‘named person</w:t>
                      </w:r>
                      <w:r w:rsidR="00AF2C32" w:rsidRPr="00F33279">
                        <w:rPr>
                          <w:rFonts w:ascii="Arial Narrow" w:hAnsi="Arial Narrow"/>
                          <w:b/>
                          <w:bCs/>
                          <w:sz w:val="24"/>
                          <w:szCs w:val="24"/>
                        </w:rPr>
                        <w:t>’ case</w:t>
                      </w:r>
                    </w:p>
                    <w:p w14:paraId="7E54DE12" w14:textId="345933E4" w:rsidR="00AF2C32" w:rsidRPr="00F33279" w:rsidRDefault="00280C85">
                      <w:pPr>
                        <w:rPr>
                          <w:rFonts w:ascii="Arial Narrow" w:hAnsi="Arial Narrow"/>
                          <w:color w:val="151515"/>
                          <w:sz w:val="24"/>
                          <w:szCs w:val="24"/>
                          <w:shd w:val="clear" w:color="auto" w:fill="FFFFFF"/>
                        </w:rPr>
                      </w:pPr>
                      <w:r w:rsidRPr="00F33279">
                        <w:rPr>
                          <w:rFonts w:ascii="Arial Narrow" w:hAnsi="Arial Narrow"/>
                          <w:color w:val="151515"/>
                          <w:sz w:val="24"/>
                          <w:szCs w:val="24"/>
                          <w:shd w:val="clear" w:color="auto" w:fill="FFFFFF"/>
                        </w:rPr>
                        <w:t>When the Named Person Scheme was proposed in the Children and Young People (Scotland) Bill, many organisations raised their concerns about the risk of sharing information about a child without their consent</w:t>
                      </w:r>
                      <w:r w:rsidR="00F12D79" w:rsidRPr="00F33279">
                        <w:rPr>
                          <w:rFonts w:ascii="Arial Narrow" w:hAnsi="Arial Narrow"/>
                          <w:color w:val="151515"/>
                          <w:sz w:val="24"/>
                          <w:szCs w:val="24"/>
                          <w:shd w:val="clear" w:color="auto" w:fill="FFFFFF"/>
                        </w:rPr>
                        <w:t xml:space="preserve">. There was concern that such law might </w:t>
                      </w:r>
                      <w:r w:rsidRPr="00F33279">
                        <w:rPr>
                          <w:rFonts w:ascii="Arial Narrow" w:hAnsi="Arial Narrow"/>
                          <w:color w:val="151515"/>
                          <w:sz w:val="24"/>
                          <w:szCs w:val="24"/>
                          <w:shd w:val="clear" w:color="auto" w:fill="FFFFFF"/>
                        </w:rPr>
                        <w:t>make children and young people reluctant to access confidential services</w:t>
                      </w:r>
                      <w:r w:rsidR="00B9027A" w:rsidRPr="00F33279">
                        <w:rPr>
                          <w:rFonts w:ascii="Arial Narrow" w:hAnsi="Arial Narrow"/>
                          <w:color w:val="151515"/>
                          <w:sz w:val="24"/>
                          <w:szCs w:val="24"/>
                          <w:shd w:val="clear" w:color="auto" w:fill="FFFFFF"/>
                        </w:rPr>
                        <w:t>, worried that their personal information would be shared widely without their consent.</w:t>
                      </w:r>
                    </w:p>
                    <w:p w14:paraId="3079CD4C" w14:textId="75EEF4E7" w:rsidR="008E48AE" w:rsidRPr="00F33279" w:rsidRDefault="00B9027A">
                      <w:pPr>
                        <w:rPr>
                          <w:rFonts w:ascii="Arial Narrow" w:hAnsi="Arial Narrow"/>
                          <w:color w:val="151515"/>
                          <w:sz w:val="24"/>
                          <w:szCs w:val="24"/>
                          <w:shd w:val="clear" w:color="auto" w:fill="FFFFFF"/>
                        </w:rPr>
                      </w:pPr>
                      <w:r w:rsidRPr="00F33279">
                        <w:rPr>
                          <w:rFonts w:ascii="Arial Narrow" w:hAnsi="Arial Narrow"/>
                          <w:color w:val="151515"/>
                          <w:sz w:val="24"/>
                          <w:szCs w:val="24"/>
                          <w:shd w:val="clear" w:color="auto" w:fill="FFFFFF"/>
                        </w:rPr>
                        <w:t xml:space="preserve">These concerns were not </w:t>
                      </w:r>
                      <w:r w:rsidR="00922AA5" w:rsidRPr="00F33279">
                        <w:rPr>
                          <w:rFonts w:ascii="Arial Narrow" w:hAnsi="Arial Narrow"/>
                          <w:color w:val="151515"/>
                          <w:sz w:val="24"/>
                          <w:szCs w:val="24"/>
                          <w:shd w:val="clear" w:color="auto" w:fill="FFFFFF"/>
                        </w:rPr>
                        <w:t>listened to during the Bill pre-legislative or parliamentary stages, despite them raising significant human rights issues.</w:t>
                      </w:r>
                      <w:r w:rsidR="00C53E95" w:rsidRPr="00F33279">
                        <w:rPr>
                          <w:rFonts w:ascii="Arial Narrow" w:hAnsi="Arial Narrow"/>
                          <w:color w:val="151515"/>
                          <w:sz w:val="24"/>
                          <w:szCs w:val="24"/>
                          <w:shd w:val="clear" w:color="auto" w:fill="FFFFFF"/>
                        </w:rPr>
                        <w:t xml:space="preserve"> The </w:t>
                      </w:r>
                      <w:r w:rsidR="00EB5543" w:rsidRPr="00F33279">
                        <w:rPr>
                          <w:rFonts w:ascii="Arial Narrow" w:hAnsi="Arial Narrow"/>
                          <w:color w:val="151515"/>
                          <w:sz w:val="24"/>
                          <w:szCs w:val="24"/>
                          <w:shd w:val="clear" w:color="auto" w:fill="FFFFFF"/>
                        </w:rPr>
                        <w:t>law was challenged in the Supreme Court</w:t>
                      </w:r>
                      <w:r w:rsidR="005106FB">
                        <w:rPr>
                          <w:rFonts w:ascii="Arial Narrow" w:hAnsi="Arial Narrow"/>
                          <w:color w:val="151515"/>
                          <w:sz w:val="24"/>
                          <w:szCs w:val="24"/>
                          <w:shd w:val="clear" w:color="auto" w:fill="FFFFFF"/>
                        </w:rPr>
                        <w:t>, and</w:t>
                      </w:r>
                      <w:r w:rsidR="00C53E95" w:rsidRPr="00F33279">
                        <w:rPr>
                          <w:rFonts w:ascii="Arial Narrow" w:hAnsi="Arial Narrow"/>
                          <w:color w:val="151515"/>
                          <w:sz w:val="24"/>
                          <w:szCs w:val="24"/>
                          <w:shd w:val="clear" w:color="auto" w:fill="FFFFFF"/>
                        </w:rPr>
                        <w:t xml:space="preserve"> the information sharing provisions of the Children and Young People (Scotland) Act 2014 </w:t>
                      </w:r>
                      <w:r w:rsidR="00EB5543" w:rsidRPr="00F33279">
                        <w:rPr>
                          <w:rFonts w:ascii="Arial Narrow" w:hAnsi="Arial Narrow"/>
                          <w:color w:val="151515"/>
                          <w:sz w:val="24"/>
                          <w:szCs w:val="24"/>
                          <w:shd w:val="clear" w:color="auto" w:fill="FFFFFF"/>
                        </w:rPr>
                        <w:t xml:space="preserve">were found to be </w:t>
                      </w:r>
                      <w:r w:rsidR="00C53E95" w:rsidRPr="00F33279">
                        <w:rPr>
                          <w:rFonts w:ascii="Arial Narrow" w:hAnsi="Arial Narrow"/>
                          <w:color w:val="151515"/>
                          <w:sz w:val="24"/>
                          <w:szCs w:val="24"/>
                          <w:shd w:val="clear" w:color="auto" w:fill="FFFFFF"/>
                        </w:rPr>
                        <w:t>incompatible with the right to privacy in article 8 of the European Convention on Human Rights. This means the information sharing part of the Named Person scheme cannot be implemented.</w:t>
                      </w:r>
                      <w:r w:rsidR="00067FBB" w:rsidRPr="00F33279">
                        <w:rPr>
                          <w:rFonts w:ascii="Arial Narrow" w:hAnsi="Arial Narrow"/>
                          <w:color w:val="151515"/>
                          <w:sz w:val="24"/>
                          <w:szCs w:val="24"/>
                          <w:shd w:val="clear" w:color="auto" w:fill="FFFFFF"/>
                        </w:rPr>
                        <w:t xml:space="preserve"> </w:t>
                      </w:r>
                      <w:r w:rsidR="008E48AE" w:rsidRPr="00F33279">
                        <w:rPr>
                          <w:rFonts w:ascii="Arial Narrow" w:hAnsi="Arial Narrow"/>
                          <w:color w:val="000000"/>
                          <w:sz w:val="24"/>
                          <w:szCs w:val="24"/>
                          <w:shd w:val="clear" w:color="auto" w:fill="FFFFFF"/>
                        </w:rPr>
                        <w:t xml:space="preserve">There will </w:t>
                      </w:r>
                      <w:r w:rsidR="005C2DAD">
                        <w:rPr>
                          <w:rFonts w:ascii="Arial Narrow" w:hAnsi="Arial Narrow"/>
                          <w:color w:val="000000"/>
                          <w:sz w:val="24"/>
                          <w:szCs w:val="24"/>
                          <w:shd w:val="clear" w:color="auto" w:fill="FFFFFF"/>
                        </w:rPr>
                        <w:t xml:space="preserve">now </w:t>
                      </w:r>
                      <w:r w:rsidR="008E48AE" w:rsidRPr="00F33279">
                        <w:rPr>
                          <w:rFonts w:ascii="Arial Narrow" w:hAnsi="Arial Narrow"/>
                          <w:color w:val="000000"/>
                          <w:sz w:val="24"/>
                          <w:szCs w:val="24"/>
                          <w:shd w:val="clear" w:color="auto" w:fill="FFFFFF"/>
                        </w:rPr>
                        <w:t>not be a mandatory </w:t>
                      </w:r>
                      <w:r w:rsidR="008E48AE" w:rsidRPr="00F33279">
                        <w:rPr>
                          <w:rStyle w:val="mark0z1jl571n"/>
                          <w:rFonts w:ascii="Arial Narrow" w:hAnsi="Arial Narrow"/>
                          <w:color w:val="000000"/>
                          <w:sz w:val="24"/>
                          <w:szCs w:val="24"/>
                          <w:bdr w:val="none" w:sz="0" w:space="0" w:color="auto" w:frame="1"/>
                          <w:shd w:val="clear" w:color="auto" w:fill="FFFFFF"/>
                        </w:rPr>
                        <w:t>named person</w:t>
                      </w:r>
                      <w:r w:rsidR="008E48AE" w:rsidRPr="00F33279">
                        <w:rPr>
                          <w:rFonts w:ascii="Arial Narrow" w:hAnsi="Arial Narrow"/>
                          <w:color w:val="000000"/>
                          <w:sz w:val="24"/>
                          <w:szCs w:val="24"/>
                          <w:shd w:val="clear" w:color="auto" w:fill="FFFFFF"/>
                        </w:rPr>
                        <w:t> scheme. </w:t>
                      </w:r>
                      <w:r w:rsidR="00F33279" w:rsidRPr="00F33279">
                        <w:rPr>
                          <w:rFonts w:ascii="Arial Narrow" w:hAnsi="Arial Narrow"/>
                          <w:color w:val="000000"/>
                          <w:sz w:val="24"/>
                          <w:szCs w:val="24"/>
                          <w:shd w:val="clear" w:color="auto" w:fill="FFFFFF"/>
                        </w:rPr>
                        <w:t>Instead</w:t>
                      </w:r>
                      <w:r w:rsidR="004E3FDC">
                        <w:rPr>
                          <w:rFonts w:ascii="Arial Narrow" w:hAnsi="Arial Narrow"/>
                          <w:color w:val="000000"/>
                          <w:sz w:val="24"/>
                          <w:szCs w:val="24"/>
                          <w:shd w:val="clear" w:color="auto" w:fill="FFFFFF"/>
                        </w:rPr>
                        <w:t>,</w:t>
                      </w:r>
                      <w:r w:rsidR="00F33279" w:rsidRPr="00F33279">
                        <w:rPr>
                          <w:rFonts w:ascii="Arial Narrow" w:hAnsi="Arial Narrow"/>
                          <w:color w:val="000000"/>
                          <w:sz w:val="24"/>
                          <w:szCs w:val="24"/>
                          <w:shd w:val="clear" w:color="auto" w:fill="FFFFFF"/>
                        </w:rPr>
                        <w:t xml:space="preserve"> the Government will produce tools and resources to help all understand the current law around information sharing.</w:t>
                      </w:r>
                    </w:p>
                  </w:txbxContent>
                </v:textbox>
              </v:shape>
            </w:pict>
          </mc:Fallback>
        </mc:AlternateContent>
      </w:r>
    </w:p>
    <w:p w14:paraId="427483A2" w14:textId="2642E212" w:rsidR="00833CC4" w:rsidRDefault="00833CC4" w:rsidP="00A0223D">
      <w:pPr>
        <w:rPr>
          <w:rFonts w:ascii="Arial Narrow" w:hAnsi="Arial Narrow" w:cs="Arial"/>
          <w:sz w:val="24"/>
          <w:szCs w:val="24"/>
        </w:rPr>
      </w:pPr>
    </w:p>
    <w:p w14:paraId="67CFA767" w14:textId="68AA4ED5" w:rsidR="00833CC4" w:rsidRDefault="00833CC4" w:rsidP="00A0223D">
      <w:pPr>
        <w:rPr>
          <w:rFonts w:ascii="Arial Narrow" w:hAnsi="Arial Narrow" w:cs="Arial"/>
          <w:sz w:val="24"/>
          <w:szCs w:val="24"/>
        </w:rPr>
      </w:pPr>
    </w:p>
    <w:p w14:paraId="73BEB4A6" w14:textId="028EA6BD" w:rsidR="00833CC4" w:rsidRPr="00883AD4" w:rsidRDefault="00833CC4" w:rsidP="00A0223D">
      <w:pPr>
        <w:rPr>
          <w:rFonts w:ascii="Arial Narrow" w:hAnsi="Arial Narrow" w:cs="Arial"/>
          <w:sz w:val="24"/>
          <w:szCs w:val="24"/>
        </w:rPr>
      </w:pPr>
    </w:p>
    <w:p w14:paraId="77945BD5" w14:textId="21AB2502" w:rsidR="004E07EE" w:rsidRPr="00883AD4" w:rsidRDefault="004E07EE" w:rsidP="00A0223D">
      <w:pPr>
        <w:rPr>
          <w:rFonts w:ascii="Arial Narrow" w:hAnsi="Arial Narrow" w:cs="Arial"/>
          <w:sz w:val="24"/>
          <w:szCs w:val="24"/>
        </w:rPr>
      </w:pPr>
    </w:p>
    <w:p w14:paraId="7463C8B9" w14:textId="02856143" w:rsidR="00B076BE" w:rsidRDefault="00B076BE" w:rsidP="00A0223D">
      <w:pPr>
        <w:rPr>
          <w:rFonts w:ascii="Arial Narrow" w:hAnsi="Arial Narrow" w:cs="Arial"/>
          <w:sz w:val="24"/>
          <w:szCs w:val="24"/>
        </w:rPr>
      </w:pPr>
    </w:p>
    <w:p w14:paraId="51F0F844" w14:textId="24713A00" w:rsidR="00FC736A" w:rsidRDefault="00FC736A" w:rsidP="00A0223D">
      <w:pPr>
        <w:rPr>
          <w:rFonts w:ascii="Arial Narrow" w:hAnsi="Arial Narrow" w:cs="Arial"/>
          <w:sz w:val="24"/>
          <w:szCs w:val="24"/>
        </w:rPr>
      </w:pPr>
    </w:p>
    <w:p w14:paraId="26CACEB2" w14:textId="4D683B16" w:rsidR="00FC736A" w:rsidRDefault="00FC736A" w:rsidP="00A0223D">
      <w:pPr>
        <w:rPr>
          <w:rFonts w:ascii="Arial Narrow" w:hAnsi="Arial Narrow" w:cs="Arial"/>
          <w:sz w:val="24"/>
          <w:szCs w:val="24"/>
        </w:rPr>
      </w:pPr>
    </w:p>
    <w:p w14:paraId="32AF8C37" w14:textId="13A2EFED" w:rsidR="00FC736A" w:rsidRDefault="00FC736A" w:rsidP="00A0223D">
      <w:pPr>
        <w:rPr>
          <w:rFonts w:ascii="Arial Narrow" w:hAnsi="Arial Narrow" w:cs="Arial"/>
          <w:sz w:val="24"/>
          <w:szCs w:val="24"/>
        </w:rPr>
      </w:pPr>
    </w:p>
    <w:p w14:paraId="6CDB17AF" w14:textId="2C288472" w:rsidR="00FC736A" w:rsidRDefault="00FC736A" w:rsidP="00A0223D">
      <w:pPr>
        <w:rPr>
          <w:rFonts w:ascii="Arial Narrow" w:hAnsi="Arial Narrow" w:cs="Arial"/>
          <w:sz w:val="24"/>
          <w:szCs w:val="24"/>
        </w:rPr>
      </w:pPr>
    </w:p>
    <w:p w14:paraId="296DC43C" w14:textId="730DFBD3" w:rsidR="00FC736A" w:rsidRDefault="00FC736A" w:rsidP="00A0223D">
      <w:pPr>
        <w:rPr>
          <w:rFonts w:ascii="Arial Narrow" w:hAnsi="Arial Narrow" w:cs="Arial"/>
          <w:sz w:val="24"/>
          <w:szCs w:val="24"/>
        </w:rPr>
      </w:pPr>
    </w:p>
    <w:p w14:paraId="63D4FFF8" w14:textId="6C0D3856" w:rsidR="009D1077" w:rsidRPr="00883AD4" w:rsidRDefault="009D1077" w:rsidP="00A0223D">
      <w:pPr>
        <w:rPr>
          <w:rFonts w:ascii="Arial Narrow" w:hAnsi="Arial Narrow" w:cs="Arial"/>
          <w:b/>
          <w:bCs/>
          <w:sz w:val="24"/>
          <w:szCs w:val="24"/>
        </w:rPr>
      </w:pPr>
      <w:r w:rsidRPr="00883AD4">
        <w:rPr>
          <w:rFonts w:ascii="Arial Narrow" w:hAnsi="Arial Narrow" w:cs="Arial"/>
          <w:b/>
          <w:bCs/>
          <w:sz w:val="24"/>
          <w:szCs w:val="24"/>
        </w:rPr>
        <w:t xml:space="preserve">For </w:t>
      </w:r>
      <w:proofErr w:type="gramStart"/>
      <w:r w:rsidRPr="00883AD4">
        <w:rPr>
          <w:rFonts w:ascii="Arial Narrow" w:hAnsi="Arial Narrow" w:cs="Arial"/>
          <w:b/>
          <w:bCs/>
          <w:sz w:val="24"/>
          <w:szCs w:val="24"/>
        </w:rPr>
        <w:t>all of</w:t>
      </w:r>
      <w:proofErr w:type="gramEnd"/>
      <w:r w:rsidRPr="00883AD4">
        <w:rPr>
          <w:rFonts w:ascii="Arial Narrow" w:hAnsi="Arial Narrow" w:cs="Arial"/>
          <w:b/>
          <w:bCs/>
          <w:sz w:val="24"/>
          <w:szCs w:val="24"/>
        </w:rPr>
        <w:t xml:space="preserve"> the reasons above, we </w:t>
      </w:r>
      <w:r w:rsidR="000F4E97">
        <w:rPr>
          <w:rFonts w:ascii="Arial Narrow" w:hAnsi="Arial Narrow" w:cs="Arial"/>
          <w:b/>
          <w:bCs/>
          <w:sz w:val="24"/>
          <w:szCs w:val="24"/>
        </w:rPr>
        <w:t xml:space="preserve">recommend </w:t>
      </w:r>
      <w:r w:rsidRPr="00883AD4">
        <w:rPr>
          <w:rFonts w:ascii="Arial Narrow" w:hAnsi="Arial Narrow" w:cs="Arial"/>
          <w:b/>
          <w:bCs/>
          <w:sz w:val="24"/>
          <w:szCs w:val="24"/>
        </w:rPr>
        <w:t>that no change is made to how the roles of the courts, Government and Parliament are balanced, and to Articles 3 and 4 of the HRA.</w:t>
      </w:r>
    </w:p>
    <w:p w14:paraId="38E800FE" w14:textId="28E50722" w:rsidR="00F66F53" w:rsidRPr="00883AD4" w:rsidRDefault="00916FE6" w:rsidP="00A0223D">
      <w:pPr>
        <w:rPr>
          <w:rFonts w:ascii="Arial Narrow" w:hAnsi="Arial Narrow" w:cs="Arial"/>
          <w:sz w:val="24"/>
          <w:szCs w:val="24"/>
        </w:rPr>
      </w:pPr>
      <w:r w:rsidRPr="00883AD4">
        <w:rPr>
          <w:rFonts w:ascii="Arial Narrow" w:hAnsi="Arial Narrow" w:cs="Arial"/>
          <w:sz w:val="24"/>
          <w:szCs w:val="24"/>
        </w:rPr>
        <w:t>Section 7 of the HRA states that only a victim of an alleged violation of the European Convention on Human Rights, or the Equality and Human Rights Commission</w:t>
      </w:r>
      <w:r w:rsidR="00F66F53" w:rsidRPr="00883AD4">
        <w:rPr>
          <w:rFonts w:ascii="Arial Narrow" w:hAnsi="Arial Narrow" w:cs="Arial"/>
          <w:sz w:val="24"/>
          <w:szCs w:val="24"/>
        </w:rPr>
        <w:t xml:space="preserve"> in their own name, </w:t>
      </w:r>
      <w:r w:rsidRPr="00883AD4">
        <w:rPr>
          <w:rFonts w:ascii="Arial Narrow" w:hAnsi="Arial Narrow" w:cs="Arial"/>
          <w:sz w:val="24"/>
          <w:szCs w:val="24"/>
        </w:rPr>
        <w:t xml:space="preserve">can bring an HRA </w:t>
      </w:r>
      <w:r w:rsidR="00974C76" w:rsidRPr="00883AD4">
        <w:rPr>
          <w:rFonts w:ascii="Arial Narrow" w:hAnsi="Arial Narrow" w:cs="Arial"/>
          <w:sz w:val="24"/>
          <w:szCs w:val="24"/>
        </w:rPr>
        <w:t xml:space="preserve">case </w:t>
      </w:r>
      <w:r w:rsidRPr="00883AD4">
        <w:rPr>
          <w:rFonts w:ascii="Arial Narrow" w:hAnsi="Arial Narrow" w:cs="Arial"/>
          <w:sz w:val="24"/>
          <w:szCs w:val="24"/>
        </w:rPr>
        <w:t xml:space="preserve">before the UK courts. We are concerned that this restriction unnecessarily leads to </w:t>
      </w:r>
      <w:r w:rsidR="00974C76" w:rsidRPr="00883AD4">
        <w:rPr>
          <w:rFonts w:ascii="Arial Narrow" w:hAnsi="Arial Narrow" w:cs="Arial"/>
          <w:sz w:val="24"/>
          <w:szCs w:val="24"/>
        </w:rPr>
        <w:t xml:space="preserve">too many </w:t>
      </w:r>
      <w:r w:rsidRPr="00883AD4">
        <w:rPr>
          <w:rFonts w:ascii="Arial Narrow" w:hAnsi="Arial Narrow" w:cs="Arial"/>
          <w:sz w:val="24"/>
          <w:szCs w:val="24"/>
        </w:rPr>
        <w:t xml:space="preserve">individuals in vulnerable circumstances having to </w:t>
      </w:r>
      <w:r w:rsidR="00F66F53" w:rsidRPr="00883AD4">
        <w:rPr>
          <w:rFonts w:ascii="Arial Narrow" w:hAnsi="Arial Narrow" w:cs="Arial"/>
          <w:sz w:val="24"/>
          <w:szCs w:val="24"/>
        </w:rPr>
        <w:t>go through all the strains of the judicial process t</w:t>
      </w:r>
      <w:r w:rsidRPr="00883AD4">
        <w:rPr>
          <w:rFonts w:ascii="Arial Narrow" w:hAnsi="Arial Narrow" w:cs="Arial"/>
          <w:sz w:val="24"/>
          <w:szCs w:val="24"/>
        </w:rPr>
        <w:t xml:space="preserve">o bring strategic change.  Bringing clarity and advancement of human rights law should not rely upon individuals. </w:t>
      </w:r>
      <w:r w:rsidR="00E6492E" w:rsidRPr="00883AD4">
        <w:rPr>
          <w:rFonts w:ascii="Arial Narrow" w:hAnsi="Arial Narrow" w:cs="Arial"/>
          <w:b/>
          <w:bCs/>
          <w:sz w:val="24"/>
          <w:szCs w:val="24"/>
        </w:rPr>
        <w:t>W</w:t>
      </w:r>
      <w:r w:rsidR="00C874DE" w:rsidRPr="00883AD4">
        <w:rPr>
          <w:rFonts w:ascii="Arial Narrow" w:hAnsi="Arial Narrow" w:cs="Arial"/>
          <w:b/>
          <w:bCs/>
          <w:sz w:val="24"/>
          <w:szCs w:val="24"/>
        </w:rPr>
        <w:t>e recommend</w:t>
      </w:r>
      <w:r w:rsidR="004E3FDC">
        <w:rPr>
          <w:rFonts w:ascii="Arial Narrow" w:hAnsi="Arial Narrow" w:cs="Arial"/>
          <w:b/>
          <w:bCs/>
          <w:sz w:val="24"/>
          <w:szCs w:val="24"/>
        </w:rPr>
        <w:t xml:space="preserve"> </w:t>
      </w:r>
      <w:r w:rsidR="008E72DB">
        <w:rPr>
          <w:rFonts w:ascii="Arial Narrow" w:hAnsi="Arial Narrow" w:cs="Arial"/>
          <w:b/>
          <w:bCs/>
          <w:sz w:val="24"/>
          <w:szCs w:val="24"/>
        </w:rPr>
        <w:t xml:space="preserve">broadening of </w:t>
      </w:r>
      <w:r w:rsidR="00F66F53" w:rsidRPr="00883AD4">
        <w:rPr>
          <w:rFonts w:ascii="Arial Narrow" w:hAnsi="Arial Narrow" w:cs="Arial"/>
          <w:b/>
          <w:bCs/>
          <w:sz w:val="24"/>
          <w:szCs w:val="24"/>
        </w:rPr>
        <w:t xml:space="preserve">standing under the HRA </w:t>
      </w:r>
      <w:r w:rsidR="00C874DE" w:rsidRPr="00883AD4">
        <w:rPr>
          <w:rFonts w:ascii="Arial Narrow" w:hAnsi="Arial Narrow" w:cs="Arial"/>
          <w:b/>
          <w:bCs/>
          <w:sz w:val="24"/>
          <w:szCs w:val="24"/>
        </w:rPr>
        <w:t>to</w:t>
      </w:r>
      <w:r w:rsidR="00F66F53" w:rsidRPr="00883AD4">
        <w:rPr>
          <w:rFonts w:ascii="Arial Narrow" w:hAnsi="Arial Narrow" w:cs="Arial"/>
          <w:b/>
          <w:bCs/>
          <w:sz w:val="24"/>
          <w:szCs w:val="24"/>
        </w:rPr>
        <w:t xml:space="preserve"> be defined in the same way as under other areas of law, allowing any</w:t>
      </w:r>
      <w:r w:rsidR="00C874DE" w:rsidRPr="00883AD4">
        <w:rPr>
          <w:rFonts w:ascii="Arial Narrow" w:hAnsi="Arial Narrow" w:cs="Arial"/>
          <w:b/>
          <w:bCs/>
          <w:sz w:val="24"/>
          <w:szCs w:val="24"/>
        </w:rPr>
        <w:t xml:space="preserve"> person</w:t>
      </w:r>
      <w:r w:rsidR="00F66F53" w:rsidRPr="00883AD4">
        <w:rPr>
          <w:rFonts w:ascii="Arial Narrow" w:hAnsi="Arial Narrow" w:cs="Arial"/>
          <w:b/>
          <w:bCs/>
          <w:sz w:val="24"/>
          <w:szCs w:val="24"/>
        </w:rPr>
        <w:t xml:space="preserve"> or group with ‘sufficient interest’ to raise an HRA case.</w:t>
      </w:r>
      <w:r w:rsidR="00F66F53" w:rsidRPr="00883AD4">
        <w:rPr>
          <w:rFonts w:ascii="Arial Narrow" w:hAnsi="Arial Narrow" w:cs="Arial"/>
          <w:sz w:val="24"/>
          <w:szCs w:val="24"/>
        </w:rPr>
        <w:t xml:space="preserve"> </w:t>
      </w:r>
    </w:p>
    <w:p w14:paraId="2753B0A4" w14:textId="50AC4A9C" w:rsidR="00883AD4" w:rsidRDefault="00883AD4" w:rsidP="00974C76">
      <w:pPr>
        <w:rPr>
          <w:rFonts w:ascii="Arial Narrow" w:hAnsi="Arial Narrow" w:cs="Arial"/>
          <w:sz w:val="24"/>
          <w:szCs w:val="24"/>
        </w:rPr>
      </w:pPr>
    </w:p>
    <w:p w14:paraId="7CB72400" w14:textId="25B75682" w:rsidR="00883AD4" w:rsidRPr="00883AD4" w:rsidRDefault="00883AD4" w:rsidP="00974C76">
      <w:pPr>
        <w:rPr>
          <w:rFonts w:ascii="Arial Narrow" w:hAnsi="Arial Narrow" w:cs="Arial"/>
          <w:i/>
          <w:iCs/>
          <w:sz w:val="24"/>
          <w:szCs w:val="24"/>
        </w:rPr>
      </w:pPr>
      <w:r w:rsidRPr="00883AD4">
        <w:rPr>
          <w:rFonts w:ascii="Arial Narrow" w:hAnsi="Arial Narrow" w:cs="Arial"/>
          <w:i/>
          <w:iCs/>
          <w:sz w:val="24"/>
          <w:szCs w:val="24"/>
        </w:rPr>
        <w:t>Human Rights Consortium Scotland</w:t>
      </w:r>
    </w:p>
    <w:p w14:paraId="04DC4877" w14:textId="3E5D7686" w:rsidR="00883AD4" w:rsidRPr="00883AD4" w:rsidRDefault="00883AD4" w:rsidP="00974C76">
      <w:pPr>
        <w:rPr>
          <w:rFonts w:ascii="Arial Narrow" w:hAnsi="Arial Narrow" w:cs="Arial"/>
          <w:i/>
          <w:iCs/>
          <w:sz w:val="24"/>
          <w:szCs w:val="24"/>
        </w:rPr>
      </w:pPr>
      <w:r w:rsidRPr="00883AD4">
        <w:rPr>
          <w:rFonts w:ascii="Arial Narrow" w:hAnsi="Arial Narrow" w:cs="Arial"/>
          <w:i/>
          <w:iCs/>
          <w:sz w:val="24"/>
          <w:szCs w:val="24"/>
        </w:rPr>
        <w:t>March 2021</w:t>
      </w:r>
    </w:p>
    <w:p w14:paraId="40CF2A37" w14:textId="5FFC69C9" w:rsidR="00974C76" w:rsidRPr="00883AD4" w:rsidRDefault="00974C76" w:rsidP="00974C76">
      <w:pPr>
        <w:rPr>
          <w:rFonts w:ascii="Arial Narrow" w:hAnsi="Arial Narrow" w:cs="Arial"/>
          <w:sz w:val="24"/>
          <w:szCs w:val="24"/>
        </w:rPr>
      </w:pPr>
    </w:p>
    <w:sectPr w:rsidR="00974C76" w:rsidRPr="00883AD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AFF52" w14:textId="77777777" w:rsidR="00E755BD" w:rsidRDefault="00E755BD" w:rsidP="00DD516E">
      <w:pPr>
        <w:spacing w:after="0" w:line="240" w:lineRule="auto"/>
      </w:pPr>
      <w:r>
        <w:separator/>
      </w:r>
    </w:p>
  </w:endnote>
  <w:endnote w:type="continuationSeparator" w:id="0">
    <w:p w14:paraId="188B004B" w14:textId="77777777" w:rsidR="00E755BD" w:rsidRDefault="00E755BD" w:rsidP="00DD516E">
      <w:pPr>
        <w:spacing w:after="0" w:line="240" w:lineRule="auto"/>
      </w:pPr>
      <w:r>
        <w:continuationSeparator/>
      </w:r>
    </w:p>
  </w:endnote>
  <w:endnote w:type="continuationNotice" w:id="1">
    <w:p w14:paraId="652A948A" w14:textId="77777777" w:rsidR="00E755BD" w:rsidRDefault="00E75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BE59" w14:textId="74A9FF38" w:rsidR="00883AD4" w:rsidRDefault="00883AD4" w:rsidP="00883AD4">
    <w:pPr>
      <w:pStyle w:val="Footer"/>
    </w:pPr>
    <w:r>
      <w:t xml:space="preserve">Human Rights Consortium Scotland SCIO: </w:t>
    </w:r>
    <w:r w:rsidRPr="00E04AA0">
      <w:t>SC050099</w:t>
    </w:r>
    <w:r>
      <w:t xml:space="preserve">; </w:t>
    </w:r>
    <w:hyperlink r:id="rId1" w:history="1">
      <w:r w:rsidRPr="00497D0C">
        <w:rPr>
          <w:rStyle w:val="Hyperlink"/>
        </w:rPr>
        <w:t>www.hrcscotland.org</w:t>
      </w:r>
    </w:hyperlink>
    <w:r>
      <w:t>; @HRCScotland</w:t>
    </w:r>
  </w:p>
  <w:p w14:paraId="7C607B45" w14:textId="7F9AE757" w:rsidR="00883AD4" w:rsidRDefault="00883AD4">
    <w:pPr>
      <w:pStyle w:val="Footer"/>
    </w:pPr>
  </w:p>
  <w:p w14:paraId="6B0D6A8F" w14:textId="77777777" w:rsidR="00883AD4" w:rsidRDefault="0088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BB534" w14:textId="77777777" w:rsidR="00E755BD" w:rsidRDefault="00E755BD" w:rsidP="00DD516E">
      <w:pPr>
        <w:spacing w:after="0" w:line="240" w:lineRule="auto"/>
      </w:pPr>
      <w:r>
        <w:separator/>
      </w:r>
    </w:p>
  </w:footnote>
  <w:footnote w:type="continuationSeparator" w:id="0">
    <w:p w14:paraId="66C44E9C" w14:textId="77777777" w:rsidR="00E755BD" w:rsidRDefault="00E755BD" w:rsidP="00DD516E">
      <w:pPr>
        <w:spacing w:after="0" w:line="240" w:lineRule="auto"/>
      </w:pPr>
      <w:r>
        <w:continuationSeparator/>
      </w:r>
    </w:p>
  </w:footnote>
  <w:footnote w:type="continuationNotice" w:id="1">
    <w:p w14:paraId="29E44903" w14:textId="77777777" w:rsidR="00E755BD" w:rsidRDefault="00E755BD">
      <w:pPr>
        <w:spacing w:after="0" w:line="240" w:lineRule="auto"/>
      </w:pPr>
    </w:p>
  </w:footnote>
  <w:footnote w:id="2">
    <w:p w14:paraId="387B52E4" w14:textId="293890DB" w:rsidR="00C579F8" w:rsidRDefault="00C579F8">
      <w:pPr>
        <w:pStyle w:val="FootnoteText"/>
      </w:pPr>
      <w:r>
        <w:rPr>
          <w:rStyle w:val="FootnoteReference"/>
        </w:rPr>
        <w:footnoteRef/>
      </w:r>
      <w:r>
        <w:t xml:space="preserve"> Full Declaration and list of signatories available at </w:t>
      </w:r>
      <w:hyperlink r:id="rId1" w:history="1">
        <w:r w:rsidRPr="00260972">
          <w:rPr>
            <w:rStyle w:val="Hyperlink"/>
          </w:rPr>
          <w:t>www.humanrightsdeclaration.scot</w:t>
        </w:r>
      </w:hyperlink>
      <w:r>
        <w:t xml:space="preserve"> </w:t>
      </w:r>
    </w:p>
  </w:footnote>
  <w:footnote w:id="3">
    <w:p w14:paraId="5268449B" w14:textId="040DA624" w:rsidR="00C579F8" w:rsidRPr="00C579F8" w:rsidRDefault="00C579F8" w:rsidP="00C579F8">
      <w:pPr>
        <w:rPr>
          <w:rFonts w:ascii="Arial" w:hAnsi="Arial" w:cs="Arial"/>
          <w:b/>
          <w:bCs/>
          <w:sz w:val="28"/>
          <w:szCs w:val="28"/>
        </w:rPr>
      </w:pPr>
      <w:r>
        <w:rPr>
          <w:rStyle w:val="FootnoteReference"/>
        </w:rPr>
        <w:footnoteRef/>
      </w:r>
      <w:r>
        <w:t xml:space="preserve"> Busby, N. </w:t>
      </w:r>
      <w:r w:rsidRPr="00C579F8">
        <w:t>Human Rights and Devolution:</w:t>
      </w:r>
      <w:r>
        <w:rPr>
          <w:rFonts w:ascii="Arial" w:hAnsi="Arial" w:cs="Arial"/>
          <w:b/>
          <w:bCs/>
          <w:sz w:val="28"/>
          <w:szCs w:val="28"/>
        </w:rPr>
        <w:t xml:space="preserve"> </w:t>
      </w:r>
      <w:r w:rsidRPr="00C579F8">
        <w:t>The Independent Review of the Human Rights Act: Implications for Scotland</w:t>
      </w:r>
      <w:r>
        <w:t xml:space="preserve">, for the Civil Society Brexit Project 2020, available at: </w:t>
      </w:r>
      <w:hyperlink r:id="rId2" w:history="1">
        <w:r>
          <w:rPr>
            <w:rStyle w:val="Hyperlink"/>
          </w:rPr>
          <w:t>Layout 1 (hrcscotland.org)</w:t>
        </w:r>
      </w:hyperlink>
    </w:p>
    <w:p w14:paraId="45C3FCA5" w14:textId="051CDD22" w:rsidR="00C579F8" w:rsidRDefault="00C579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71E"/>
    <w:multiLevelType w:val="hybridMultilevel"/>
    <w:tmpl w:val="850470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4302F8C"/>
    <w:multiLevelType w:val="hybridMultilevel"/>
    <w:tmpl w:val="81F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B4BB3"/>
    <w:multiLevelType w:val="hybridMultilevel"/>
    <w:tmpl w:val="3C0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170C0"/>
    <w:multiLevelType w:val="hybridMultilevel"/>
    <w:tmpl w:val="6DA26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04E21"/>
    <w:multiLevelType w:val="hybridMultilevel"/>
    <w:tmpl w:val="A74C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B19B8"/>
    <w:multiLevelType w:val="hybridMultilevel"/>
    <w:tmpl w:val="6468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B4"/>
    <w:rsid w:val="0000442D"/>
    <w:rsid w:val="00007E47"/>
    <w:rsid w:val="00060F28"/>
    <w:rsid w:val="00064D76"/>
    <w:rsid w:val="00067FBB"/>
    <w:rsid w:val="00080324"/>
    <w:rsid w:val="00091AAD"/>
    <w:rsid w:val="00095972"/>
    <w:rsid w:val="000C2391"/>
    <w:rsid w:val="000C5241"/>
    <w:rsid w:val="000D0373"/>
    <w:rsid w:val="000D74CD"/>
    <w:rsid w:val="000F4E97"/>
    <w:rsid w:val="00127E00"/>
    <w:rsid w:val="001319B3"/>
    <w:rsid w:val="001446FC"/>
    <w:rsid w:val="001B3CDF"/>
    <w:rsid w:val="001E2365"/>
    <w:rsid w:val="00207AEE"/>
    <w:rsid w:val="00250B23"/>
    <w:rsid w:val="002809D8"/>
    <w:rsid w:val="00280C85"/>
    <w:rsid w:val="00286DD0"/>
    <w:rsid w:val="002B7BC5"/>
    <w:rsid w:val="002E7648"/>
    <w:rsid w:val="002F57A2"/>
    <w:rsid w:val="00311A82"/>
    <w:rsid w:val="00325CD6"/>
    <w:rsid w:val="003342AC"/>
    <w:rsid w:val="00351AE9"/>
    <w:rsid w:val="00371125"/>
    <w:rsid w:val="003B53FE"/>
    <w:rsid w:val="003C4D8C"/>
    <w:rsid w:val="003F47C7"/>
    <w:rsid w:val="00400415"/>
    <w:rsid w:val="00404A23"/>
    <w:rsid w:val="00432F5B"/>
    <w:rsid w:val="00475FB4"/>
    <w:rsid w:val="004952F4"/>
    <w:rsid w:val="004C0137"/>
    <w:rsid w:val="004E07EE"/>
    <w:rsid w:val="004E3FDC"/>
    <w:rsid w:val="005106FB"/>
    <w:rsid w:val="00513B09"/>
    <w:rsid w:val="00517619"/>
    <w:rsid w:val="005231EF"/>
    <w:rsid w:val="00523305"/>
    <w:rsid w:val="00525D75"/>
    <w:rsid w:val="00527E71"/>
    <w:rsid w:val="005316B5"/>
    <w:rsid w:val="00556B39"/>
    <w:rsid w:val="00561682"/>
    <w:rsid w:val="00562126"/>
    <w:rsid w:val="005669F4"/>
    <w:rsid w:val="0059763B"/>
    <w:rsid w:val="005B33ED"/>
    <w:rsid w:val="005C2DAD"/>
    <w:rsid w:val="005D56E5"/>
    <w:rsid w:val="005E489C"/>
    <w:rsid w:val="00601310"/>
    <w:rsid w:val="0061420C"/>
    <w:rsid w:val="00616D8A"/>
    <w:rsid w:val="006644A4"/>
    <w:rsid w:val="00665D93"/>
    <w:rsid w:val="00676D81"/>
    <w:rsid w:val="00683858"/>
    <w:rsid w:val="00696B42"/>
    <w:rsid w:val="006B2B84"/>
    <w:rsid w:val="006B4DF2"/>
    <w:rsid w:val="006E2526"/>
    <w:rsid w:val="006E5FE0"/>
    <w:rsid w:val="006F24E7"/>
    <w:rsid w:val="00703374"/>
    <w:rsid w:val="007242FB"/>
    <w:rsid w:val="00731045"/>
    <w:rsid w:val="007348BB"/>
    <w:rsid w:val="00743FBA"/>
    <w:rsid w:val="007526BD"/>
    <w:rsid w:val="0079070C"/>
    <w:rsid w:val="007952DC"/>
    <w:rsid w:val="007A2151"/>
    <w:rsid w:val="007A35E6"/>
    <w:rsid w:val="007E6528"/>
    <w:rsid w:val="007F4C4E"/>
    <w:rsid w:val="0081337E"/>
    <w:rsid w:val="00833CC4"/>
    <w:rsid w:val="00834D2A"/>
    <w:rsid w:val="008455B2"/>
    <w:rsid w:val="0084756A"/>
    <w:rsid w:val="008503B9"/>
    <w:rsid w:val="008556CA"/>
    <w:rsid w:val="00866C8B"/>
    <w:rsid w:val="00883AD4"/>
    <w:rsid w:val="00893B12"/>
    <w:rsid w:val="00893D6C"/>
    <w:rsid w:val="008A6677"/>
    <w:rsid w:val="008A71E0"/>
    <w:rsid w:val="008E48AE"/>
    <w:rsid w:val="008E72DB"/>
    <w:rsid w:val="008F65DF"/>
    <w:rsid w:val="009041DD"/>
    <w:rsid w:val="00912DDC"/>
    <w:rsid w:val="00916FE6"/>
    <w:rsid w:val="0092110B"/>
    <w:rsid w:val="00922AA5"/>
    <w:rsid w:val="00925A8A"/>
    <w:rsid w:val="00940948"/>
    <w:rsid w:val="0094669D"/>
    <w:rsid w:val="0097195E"/>
    <w:rsid w:val="00974C76"/>
    <w:rsid w:val="00983919"/>
    <w:rsid w:val="009A0EF8"/>
    <w:rsid w:val="009B007E"/>
    <w:rsid w:val="009C08E5"/>
    <w:rsid w:val="009D1077"/>
    <w:rsid w:val="009D1CA0"/>
    <w:rsid w:val="009F62E7"/>
    <w:rsid w:val="00A0223D"/>
    <w:rsid w:val="00A27962"/>
    <w:rsid w:val="00A56C46"/>
    <w:rsid w:val="00A8480F"/>
    <w:rsid w:val="00AB1BD1"/>
    <w:rsid w:val="00AD6C36"/>
    <w:rsid w:val="00AF2C32"/>
    <w:rsid w:val="00AF5045"/>
    <w:rsid w:val="00B01159"/>
    <w:rsid w:val="00B076BE"/>
    <w:rsid w:val="00B27401"/>
    <w:rsid w:val="00B33B7D"/>
    <w:rsid w:val="00B65960"/>
    <w:rsid w:val="00B9027A"/>
    <w:rsid w:val="00BA11AB"/>
    <w:rsid w:val="00BB2866"/>
    <w:rsid w:val="00BB496F"/>
    <w:rsid w:val="00BB50DB"/>
    <w:rsid w:val="00BB7B23"/>
    <w:rsid w:val="00BE0891"/>
    <w:rsid w:val="00BE3997"/>
    <w:rsid w:val="00C05D8E"/>
    <w:rsid w:val="00C37840"/>
    <w:rsid w:val="00C44046"/>
    <w:rsid w:val="00C53E95"/>
    <w:rsid w:val="00C57900"/>
    <w:rsid w:val="00C579F8"/>
    <w:rsid w:val="00C66BDF"/>
    <w:rsid w:val="00C826FB"/>
    <w:rsid w:val="00C874DE"/>
    <w:rsid w:val="00C90508"/>
    <w:rsid w:val="00CA011A"/>
    <w:rsid w:val="00CB1088"/>
    <w:rsid w:val="00CC5180"/>
    <w:rsid w:val="00CD4730"/>
    <w:rsid w:val="00D1582B"/>
    <w:rsid w:val="00D24E61"/>
    <w:rsid w:val="00D4413A"/>
    <w:rsid w:val="00D54C03"/>
    <w:rsid w:val="00D67571"/>
    <w:rsid w:val="00DA4612"/>
    <w:rsid w:val="00DB5692"/>
    <w:rsid w:val="00DB6A5A"/>
    <w:rsid w:val="00DC6F12"/>
    <w:rsid w:val="00DD516E"/>
    <w:rsid w:val="00DD769C"/>
    <w:rsid w:val="00DE0479"/>
    <w:rsid w:val="00E075F6"/>
    <w:rsid w:val="00E25B6B"/>
    <w:rsid w:val="00E461CD"/>
    <w:rsid w:val="00E47A0A"/>
    <w:rsid w:val="00E6492E"/>
    <w:rsid w:val="00E755BD"/>
    <w:rsid w:val="00E7696C"/>
    <w:rsid w:val="00E77C19"/>
    <w:rsid w:val="00E92B4D"/>
    <w:rsid w:val="00EB5543"/>
    <w:rsid w:val="00ED7B33"/>
    <w:rsid w:val="00F01619"/>
    <w:rsid w:val="00F10C1C"/>
    <w:rsid w:val="00F1134A"/>
    <w:rsid w:val="00F12D79"/>
    <w:rsid w:val="00F236FC"/>
    <w:rsid w:val="00F33279"/>
    <w:rsid w:val="00F66F53"/>
    <w:rsid w:val="00F76EAE"/>
    <w:rsid w:val="00F77F59"/>
    <w:rsid w:val="00FB4CCE"/>
    <w:rsid w:val="00FB6BB4"/>
    <w:rsid w:val="00FC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8351"/>
  <w15:chartTrackingRefBased/>
  <w15:docId w15:val="{F99E7E95-D9D0-4955-AD49-6DB82BA1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9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71E0"/>
    <w:pPr>
      <w:ind w:left="720"/>
      <w:contextualSpacing/>
    </w:pPr>
  </w:style>
  <w:style w:type="character" w:customStyle="1" w:styleId="Heading1Char">
    <w:name w:val="Heading 1 Char"/>
    <w:basedOn w:val="DefaultParagraphFont"/>
    <w:link w:val="Heading1"/>
    <w:uiPriority w:val="9"/>
    <w:rsid w:val="00940948"/>
    <w:rPr>
      <w:rFonts w:ascii="Times New Roman" w:eastAsia="Times New Roman" w:hAnsi="Times New Roman" w:cs="Times New Roman"/>
      <w:b/>
      <w:bCs/>
      <w:kern w:val="36"/>
      <w:sz w:val="48"/>
      <w:szCs w:val="48"/>
      <w:lang w:eastAsia="en-GB"/>
    </w:rPr>
  </w:style>
  <w:style w:type="paragraph" w:customStyle="1" w:styleId="Parabeforeanother">
    <w:name w:val="&gt; Para before another"/>
    <w:basedOn w:val="Normal"/>
    <w:qFormat/>
    <w:rsid w:val="00974C76"/>
    <w:pPr>
      <w:spacing w:line="312" w:lineRule="auto"/>
    </w:pPr>
    <w:rPr>
      <w:rFonts w:ascii="Arial" w:eastAsia="Calibri" w:hAnsi="Arial" w:cs="Arial"/>
      <w:sz w:val="24"/>
      <w:szCs w:val="24"/>
    </w:rPr>
  </w:style>
  <w:style w:type="paragraph" w:styleId="FootnoteText">
    <w:name w:val="footnote text"/>
    <w:basedOn w:val="Normal"/>
    <w:link w:val="FootnoteTextChar"/>
    <w:uiPriority w:val="99"/>
    <w:semiHidden/>
    <w:unhideWhenUsed/>
    <w:rsid w:val="00DD51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16E"/>
    <w:rPr>
      <w:sz w:val="20"/>
      <w:szCs w:val="20"/>
    </w:rPr>
  </w:style>
  <w:style w:type="character" w:styleId="FootnoteReference">
    <w:name w:val="footnote reference"/>
    <w:basedOn w:val="DefaultParagraphFont"/>
    <w:uiPriority w:val="99"/>
    <w:semiHidden/>
    <w:unhideWhenUsed/>
    <w:rsid w:val="00DD516E"/>
    <w:rPr>
      <w:vertAlign w:val="superscript"/>
    </w:rPr>
  </w:style>
  <w:style w:type="paragraph" w:styleId="Header">
    <w:name w:val="header"/>
    <w:basedOn w:val="Normal"/>
    <w:link w:val="HeaderChar"/>
    <w:uiPriority w:val="99"/>
    <w:unhideWhenUsed/>
    <w:rsid w:val="00883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AD4"/>
  </w:style>
  <w:style w:type="paragraph" w:styleId="Footer">
    <w:name w:val="footer"/>
    <w:basedOn w:val="Normal"/>
    <w:link w:val="FooterChar"/>
    <w:uiPriority w:val="99"/>
    <w:unhideWhenUsed/>
    <w:rsid w:val="00883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AD4"/>
  </w:style>
  <w:style w:type="character" w:styleId="Hyperlink">
    <w:name w:val="Hyperlink"/>
    <w:basedOn w:val="DefaultParagraphFont"/>
    <w:uiPriority w:val="99"/>
    <w:unhideWhenUsed/>
    <w:rsid w:val="00883AD4"/>
    <w:rPr>
      <w:color w:val="0000FF"/>
      <w:u w:val="single"/>
    </w:rPr>
  </w:style>
  <w:style w:type="character" w:styleId="UnresolvedMention">
    <w:name w:val="Unresolved Mention"/>
    <w:basedOn w:val="DefaultParagraphFont"/>
    <w:uiPriority w:val="99"/>
    <w:semiHidden/>
    <w:unhideWhenUsed/>
    <w:rsid w:val="00C579F8"/>
    <w:rPr>
      <w:color w:val="605E5C"/>
      <w:shd w:val="clear" w:color="auto" w:fill="E1DFDD"/>
    </w:rPr>
  </w:style>
  <w:style w:type="character" w:customStyle="1" w:styleId="size">
    <w:name w:val="size"/>
    <w:basedOn w:val="DefaultParagraphFont"/>
    <w:rsid w:val="0097195E"/>
  </w:style>
  <w:style w:type="character" w:customStyle="1" w:styleId="mark0z1jl571n">
    <w:name w:val="mark0z1jl571n"/>
    <w:basedOn w:val="DefaultParagraphFont"/>
    <w:rsid w:val="008E48AE"/>
  </w:style>
  <w:style w:type="paragraph" w:customStyle="1" w:styleId="css-puzfbd">
    <w:name w:val="css-puzfbd"/>
    <w:basedOn w:val="Normal"/>
    <w:rsid w:val="00CA01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411">
      <w:bodyDiv w:val="1"/>
      <w:marLeft w:val="0"/>
      <w:marRight w:val="0"/>
      <w:marTop w:val="0"/>
      <w:marBottom w:val="0"/>
      <w:divBdr>
        <w:top w:val="none" w:sz="0" w:space="0" w:color="auto"/>
        <w:left w:val="none" w:sz="0" w:space="0" w:color="auto"/>
        <w:bottom w:val="none" w:sz="0" w:space="0" w:color="auto"/>
        <w:right w:val="none" w:sz="0" w:space="0" w:color="auto"/>
      </w:divBdr>
    </w:div>
    <w:div w:id="525217769">
      <w:bodyDiv w:val="1"/>
      <w:marLeft w:val="0"/>
      <w:marRight w:val="0"/>
      <w:marTop w:val="0"/>
      <w:marBottom w:val="0"/>
      <w:divBdr>
        <w:top w:val="none" w:sz="0" w:space="0" w:color="auto"/>
        <w:left w:val="none" w:sz="0" w:space="0" w:color="auto"/>
        <w:bottom w:val="none" w:sz="0" w:space="0" w:color="auto"/>
        <w:right w:val="none" w:sz="0" w:space="0" w:color="auto"/>
      </w:divBdr>
    </w:div>
    <w:div w:id="770509517">
      <w:bodyDiv w:val="1"/>
      <w:marLeft w:val="0"/>
      <w:marRight w:val="0"/>
      <w:marTop w:val="0"/>
      <w:marBottom w:val="0"/>
      <w:divBdr>
        <w:top w:val="none" w:sz="0" w:space="0" w:color="auto"/>
        <w:left w:val="none" w:sz="0" w:space="0" w:color="auto"/>
        <w:bottom w:val="none" w:sz="0" w:space="0" w:color="auto"/>
        <w:right w:val="none" w:sz="0" w:space="0" w:color="auto"/>
      </w:divBdr>
    </w:div>
    <w:div w:id="1077169577">
      <w:bodyDiv w:val="1"/>
      <w:marLeft w:val="0"/>
      <w:marRight w:val="0"/>
      <w:marTop w:val="0"/>
      <w:marBottom w:val="0"/>
      <w:divBdr>
        <w:top w:val="none" w:sz="0" w:space="0" w:color="auto"/>
        <w:left w:val="none" w:sz="0" w:space="0" w:color="auto"/>
        <w:bottom w:val="none" w:sz="0" w:space="0" w:color="auto"/>
        <w:right w:val="none" w:sz="0" w:space="0" w:color="auto"/>
      </w:divBdr>
    </w:div>
    <w:div w:id="1173567473">
      <w:bodyDiv w:val="1"/>
      <w:marLeft w:val="0"/>
      <w:marRight w:val="0"/>
      <w:marTop w:val="0"/>
      <w:marBottom w:val="0"/>
      <w:divBdr>
        <w:top w:val="none" w:sz="0" w:space="0" w:color="auto"/>
        <w:left w:val="none" w:sz="0" w:space="0" w:color="auto"/>
        <w:bottom w:val="none" w:sz="0" w:space="0" w:color="auto"/>
        <w:right w:val="none" w:sz="0" w:space="0" w:color="auto"/>
      </w:divBdr>
    </w:div>
    <w:div w:id="1295135689">
      <w:bodyDiv w:val="1"/>
      <w:marLeft w:val="0"/>
      <w:marRight w:val="0"/>
      <w:marTop w:val="0"/>
      <w:marBottom w:val="0"/>
      <w:divBdr>
        <w:top w:val="none" w:sz="0" w:space="0" w:color="auto"/>
        <w:left w:val="none" w:sz="0" w:space="0" w:color="auto"/>
        <w:bottom w:val="none" w:sz="0" w:space="0" w:color="auto"/>
        <w:right w:val="none" w:sz="0" w:space="0" w:color="auto"/>
      </w:divBdr>
    </w:div>
    <w:div w:id="1392266088">
      <w:bodyDiv w:val="1"/>
      <w:marLeft w:val="0"/>
      <w:marRight w:val="0"/>
      <w:marTop w:val="0"/>
      <w:marBottom w:val="0"/>
      <w:divBdr>
        <w:top w:val="none" w:sz="0" w:space="0" w:color="auto"/>
        <w:left w:val="none" w:sz="0" w:space="0" w:color="auto"/>
        <w:bottom w:val="none" w:sz="0" w:space="0" w:color="auto"/>
        <w:right w:val="none" w:sz="0" w:space="0" w:color="auto"/>
      </w:divBdr>
    </w:div>
    <w:div w:id="1625111955">
      <w:bodyDiv w:val="1"/>
      <w:marLeft w:val="0"/>
      <w:marRight w:val="0"/>
      <w:marTop w:val="0"/>
      <w:marBottom w:val="0"/>
      <w:divBdr>
        <w:top w:val="none" w:sz="0" w:space="0" w:color="auto"/>
        <w:left w:val="none" w:sz="0" w:space="0" w:color="auto"/>
        <w:bottom w:val="none" w:sz="0" w:space="0" w:color="auto"/>
        <w:right w:val="none" w:sz="0" w:space="0" w:color="auto"/>
      </w:divBdr>
      <w:divsChild>
        <w:div w:id="1327323261">
          <w:marLeft w:val="300"/>
          <w:marRight w:val="0"/>
          <w:marTop w:val="60"/>
          <w:marBottom w:val="0"/>
          <w:divBdr>
            <w:top w:val="none" w:sz="0" w:space="0" w:color="auto"/>
            <w:left w:val="none" w:sz="0" w:space="0" w:color="auto"/>
            <w:bottom w:val="none" w:sz="0" w:space="0" w:color="auto"/>
            <w:right w:val="none" w:sz="0" w:space="0" w:color="auto"/>
          </w:divBdr>
          <w:divsChild>
            <w:div w:id="274486610">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cscotlan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rcscotland.org/wp-content/uploads/2021/02/Final-IRHRA-Nicole-Busby-January-2021.pdf" TargetMode="External"/><Relationship Id="rId1" Type="http://schemas.openxmlformats.org/officeDocument/2006/relationships/hyperlink" Target="http://www.humanrightsdeclaration.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DE546D261B7A469F0BC3B6E5C91551" ma:contentTypeVersion="12" ma:contentTypeDescription="Create a new document." ma:contentTypeScope="" ma:versionID="f88124c15c78c5615a091ba994c09536">
  <xsd:schema xmlns:xsd="http://www.w3.org/2001/XMLSchema" xmlns:xs="http://www.w3.org/2001/XMLSchema" xmlns:p="http://schemas.microsoft.com/office/2006/metadata/properties" xmlns:ns2="a587b60e-8e17-46f1-9db7-57af5ab7e5f4" xmlns:ns3="023b5e60-1fc7-4313-b0f8-39886d1c4aab" targetNamespace="http://schemas.microsoft.com/office/2006/metadata/properties" ma:root="true" ma:fieldsID="66d9ea1f736d43d311216e9fbde1fbdb" ns2:_="" ns3:_="">
    <xsd:import namespace="a587b60e-8e17-46f1-9db7-57af5ab7e5f4"/>
    <xsd:import namespace="023b5e60-1fc7-4313-b0f8-39886d1c4a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b60e-8e17-46f1-9db7-57af5ab7e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b5e60-1fc7-4313-b0f8-39886d1c4a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22F8D-774A-453A-A087-D3CF9323E1FD}">
  <ds:schemaRefs>
    <ds:schemaRef ds:uri="http://schemas.microsoft.com/sharepoint/v3/contenttype/forms"/>
  </ds:schemaRefs>
</ds:datastoreItem>
</file>

<file path=customXml/itemProps2.xml><?xml version="1.0" encoding="utf-8"?>
<ds:datastoreItem xmlns:ds="http://schemas.openxmlformats.org/officeDocument/2006/customXml" ds:itemID="{8443749F-A485-4619-AA0C-B5974A9EE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D6C5D-0B88-4C76-8C38-12B6B800D3AC}">
  <ds:schemaRefs>
    <ds:schemaRef ds:uri="http://schemas.openxmlformats.org/officeDocument/2006/bibliography"/>
  </ds:schemaRefs>
</ds:datastoreItem>
</file>

<file path=customXml/itemProps4.xml><?xml version="1.0" encoding="utf-8"?>
<ds:datastoreItem xmlns:ds="http://schemas.openxmlformats.org/officeDocument/2006/customXml" ds:itemID="{ABE4A89C-FA72-4F40-8FF1-FDEA1803A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b60e-8e17-46f1-9db7-57af5ab7e5f4"/>
    <ds:schemaRef ds:uri="023b5e60-1fc7-4313-b0f8-39886d1c4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Snowden</dc:creator>
  <cp:keywords/>
  <dc:description/>
  <cp:lastModifiedBy>Rebecca Grant</cp:lastModifiedBy>
  <cp:revision>2</cp:revision>
  <cp:lastPrinted>2021-03-03T16:02:00Z</cp:lastPrinted>
  <dcterms:created xsi:type="dcterms:W3CDTF">2021-03-22T10:35:00Z</dcterms:created>
  <dcterms:modified xsi:type="dcterms:W3CDTF">2021-03-22T10:35:00Z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0x010100DDDE546D261B7A469F0BC3B6E5C91551</vt:lpwstr>
  </property>
</Properties>
</file>